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7F1" w:rsidRDefault="008E284A">
      <w:pPr>
        <w:pStyle w:val="BodyText"/>
        <w:rPr>
          <w:rFonts w:ascii="Times New Roman"/>
          <w:sz w:val="20"/>
        </w:rPr>
      </w:pPr>
      <w:r>
        <w:rPr>
          <w:noProof/>
        </w:rPr>
        <w:drawing>
          <wp:anchor distT="0" distB="0" distL="0" distR="0" simplePos="0" relativeHeight="268430279" behindDoc="1" locked="0" layoutInCell="1" allowOverlap="1">
            <wp:simplePos x="0" y="0"/>
            <wp:positionH relativeFrom="page">
              <wp:posOffset>0</wp:posOffset>
            </wp:positionH>
            <wp:positionV relativeFrom="page">
              <wp:posOffset>0</wp:posOffset>
            </wp:positionV>
            <wp:extent cx="7748778" cy="54038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48778" cy="540384"/>
                    </a:xfrm>
                    <a:prstGeom prst="rect">
                      <a:avLst/>
                    </a:prstGeom>
                  </pic:spPr>
                </pic:pic>
              </a:graphicData>
            </a:graphic>
          </wp:anchor>
        </w:drawing>
      </w:r>
    </w:p>
    <w:p w:rsidR="00DE37F1" w:rsidRDefault="00DE37F1">
      <w:pPr>
        <w:pStyle w:val="BodyText"/>
        <w:spacing w:before="4"/>
        <w:rPr>
          <w:rFonts w:ascii="Times New Roman"/>
          <w:sz w:val="17"/>
        </w:rPr>
      </w:pPr>
    </w:p>
    <w:p w:rsidR="00DE37F1" w:rsidRDefault="008E284A">
      <w:pPr>
        <w:spacing w:before="59"/>
        <w:ind w:left="104" w:right="9053"/>
        <w:rPr>
          <w:sz w:val="20"/>
        </w:rPr>
      </w:pPr>
      <w:r>
        <w:rPr>
          <w:sz w:val="20"/>
        </w:rPr>
        <w:t>TM Forum Open APIs Conformance Certification</w:t>
      </w:r>
    </w:p>
    <w:p w:rsidR="00DE37F1" w:rsidRDefault="00DE37F1">
      <w:pPr>
        <w:pStyle w:val="BodyText"/>
        <w:rPr>
          <w:sz w:val="20"/>
        </w:rPr>
      </w:pPr>
    </w:p>
    <w:p w:rsidR="00DE37F1" w:rsidRDefault="00DE37F1">
      <w:pPr>
        <w:pStyle w:val="BodyText"/>
        <w:rPr>
          <w:sz w:val="20"/>
        </w:rPr>
      </w:pPr>
    </w:p>
    <w:p w:rsidR="00DE37F1" w:rsidRDefault="00DE37F1">
      <w:pPr>
        <w:pStyle w:val="BodyText"/>
        <w:rPr>
          <w:sz w:val="20"/>
        </w:rPr>
      </w:pPr>
    </w:p>
    <w:p w:rsidR="00DE37F1" w:rsidRDefault="00DE37F1">
      <w:pPr>
        <w:pStyle w:val="BodyText"/>
        <w:rPr>
          <w:sz w:val="20"/>
        </w:rPr>
      </w:pPr>
    </w:p>
    <w:p w:rsidR="00DE37F1" w:rsidRDefault="00DE37F1">
      <w:pPr>
        <w:pStyle w:val="BodyText"/>
        <w:rPr>
          <w:sz w:val="20"/>
        </w:rPr>
      </w:pPr>
    </w:p>
    <w:p w:rsidR="00DE37F1" w:rsidRDefault="00DE37F1">
      <w:pPr>
        <w:pStyle w:val="BodyText"/>
        <w:rPr>
          <w:sz w:val="20"/>
        </w:rPr>
      </w:pPr>
    </w:p>
    <w:p w:rsidR="00DE37F1" w:rsidRDefault="00DE37F1">
      <w:pPr>
        <w:pStyle w:val="BodyText"/>
        <w:rPr>
          <w:sz w:val="20"/>
        </w:rPr>
      </w:pPr>
    </w:p>
    <w:p w:rsidR="00DE37F1" w:rsidRDefault="00DE37F1">
      <w:pPr>
        <w:pStyle w:val="BodyText"/>
        <w:spacing w:before="3"/>
        <w:rPr>
          <w:sz w:val="27"/>
        </w:rPr>
      </w:pPr>
    </w:p>
    <w:p w:rsidR="00DE37F1" w:rsidRDefault="008E284A">
      <w:pPr>
        <w:spacing w:before="99"/>
        <w:ind w:left="834"/>
        <w:rPr>
          <w:rFonts w:ascii="Georgia"/>
          <w:b/>
          <w:sz w:val="56"/>
        </w:rPr>
      </w:pPr>
      <w:r>
        <w:rPr>
          <w:rFonts w:ascii="Georgia"/>
          <w:b/>
          <w:color w:val="FF0000"/>
          <w:spacing w:val="-8"/>
          <w:sz w:val="56"/>
        </w:rPr>
        <w:t xml:space="preserve">TM </w:t>
      </w:r>
      <w:r>
        <w:rPr>
          <w:rFonts w:ascii="Georgia"/>
          <w:b/>
          <w:color w:val="FF0000"/>
          <w:spacing w:val="-14"/>
          <w:sz w:val="56"/>
        </w:rPr>
        <w:t xml:space="preserve">Forum </w:t>
      </w:r>
      <w:r>
        <w:rPr>
          <w:rFonts w:ascii="Georgia"/>
          <w:b/>
          <w:color w:val="FF0000"/>
          <w:spacing w:val="-13"/>
          <w:sz w:val="56"/>
        </w:rPr>
        <w:t>Open</w:t>
      </w:r>
      <w:r>
        <w:rPr>
          <w:rFonts w:ascii="Georgia"/>
          <w:b/>
          <w:color w:val="FF0000"/>
          <w:spacing w:val="-70"/>
          <w:sz w:val="56"/>
        </w:rPr>
        <w:t xml:space="preserve"> </w:t>
      </w:r>
      <w:r>
        <w:rPr>
          <w:rFonts w:ascii="Georgia"/>
          <w:b/>
          <w:color w:val="FF0000"/>
          <w:spacing w:val="-12"/>
          <w:sz w:val="56"/>
        </w:rPr>
        <w:t>APIs</w:t>
      </w:r>
    </w:p>
    <w:p w:rsidR="00DE37F1" w:rsidRDefault="00DE37F1">
      <w:pPr>
        <w:pStyle w:val="BodyText"/>
        <w:spacing w:before="7"/>
        <w:rPr>
          <w:rFonts w:ascii="Georgia"/>
          <w:b/>
          <w:sz w:val="66"/>
        </w:rPr>
      </w:pPr>
    </w:p>
    <w:p w:rsidR="00DE37F1" w:rsidRDefault="008E284A">
      <w:pPr>
        <w:ind w:left="834"/>
        <w:rPr>
          <w:b/>
          <w:sz w:val="64"/>
        </w:rPr>
      </w:pPr>
      <w:r>
        <w:rPr>
          <w:b/>
          <w:color w:val="404040"/>
          <w:sz w:val="64"/>
        </w:rPr>
        <w:t>Conformance Certification</w:t>
      </w:r>
    </w:p>
    <w:p w:rsidR="00DE37F1" w:rsidRDefault="00DE37F1">
      <w:pPr>
        <w:pStyle w:val="BodyText"/>
        <w:spacing w:before="6"/>
        <w:rPr>
          <w:b/>
          <w:sz w:val="70"/>
        </w:rPr>
      </w:pPr>
    </w:p>
    <w:p w:rsidR="00DE37F1" w:rsidRDefault="008E284A">
      <w:pPr>
        <w:spacing w:line="488" w:lineRule="exact"/>
        <w:ind w:left="834"/>
        <w:rPr>
          <w:b/>
          <w:i/>
          <w:color w:val="404040"/>
          <w:sz w:val="40"/>
        </w:rPr>
      </w:pPr>
      <w:r>
        <w:rPr>
          <w:i/>
          <w:color w:val="404040"/>
          <w:sz w:val="40"/>
        </w:rPr>
        <w:t xml:space="preserve">Company Name: </w:t>
      </w:r>
      <w:r>
        <w:rPr>
          <w:b/>
          <w:i/>
          <w:color w:val="404040"/>
          <w:sz w:val="40"/>
        </w:rPr>
        <w:t>NTT DATA Corporation</w:t>
      </w:r>
    </w:p>
    <w:p w:rsidR="00DB1924" w:rsidRDefault="00DB1924">
      <w:pPr>
        <w:spacing w:line="488" w:lineRule="exact"/>
        <w:ind w:left="834"/>
        <w:rPr>
          <w:b/>
          <w:i/>
          <w:sz w:val="40"/>
        </w:rPr>
      </w:pPr>
    </w:p>
    <w:p w:rsidR="00DE37F1" w:rsidRDefault="008E284A">
      <w:pPr>
        <w:spacing w:line="487" w:lineRule="exact"/>
        <w:ind w:left="834"/>
        <w:rPr>
          <w:b/>
          <w:i/>
          <w:color w:val="404040"/>
          <w:sz w:val="40"/>
        </w:rPr>
      </w:pPr>
      <w:r>
        <w:rPr>
          <w:i/>
          <w:color w:val="404040"/>
          <w:sz w:val="40"/>
        </w:rPr>
        <w:t xml:space="preserve">Open API Name: </w:t>
      </w:r>
      <w:r w:rsidR="00DB1924">
        <w:rPr>
          <w:b/>
          <w:i/>
          <w:color w:val="404040"/>
          <w:sz w:val="40"/>
        </w:rPr>
        <w:t>TMF670 - P</w:t>
      </w:r>
      <w:r>
        <w:rPr>
          <w:b/>
          <w:i/>
          <w:color w:val="404040"/>
          <w:sz w:val="40"/>
        </w:rPr>
        <w:t>ayment Methods</w:t>
      </w:r>
    </w:p>
    <w:p w:rsidR="00DB1924" w:rsidRDefault="00DB1924">
      <w:pPr>
        <w:spacing w:line="487" w:lineRule="exact"/>
        <w:ind w:left="834"/>
        <w:rPr>
          <w:b/>
          <w:i/>
          <w:sz w:val="40"/>
        </w:rPr>
      </w:pPr>
    </w:p>
    <w:p w:rsidR="00DE37F1" w:rsidRDefault="00DB1924">
      <w:pPr>
        <w:spacing w:line="488" w:lineRule="exact"/>
        <w:ind w:left="834"/>
        <w:rPr>
          <w:b/>
          <w:i/>
          <w:sz w:val="40"/>
        </w:rPr>
      </w:pPr>
      <w:r>
        <w:rPr>
          <w:i/>
          <w:color w:val="404040"/>
          <w:sz w:val="40"/>
        </w:rPr>
        <w:t xml:space="preserve">Open API Version </w:t>
      </w:r>
      <w:r w:rsidRPr="00F84312">
        <w:rPr>
          <w:i/>
          <w:color w:val="404040"/>
          <w:sz w:val="40"/>
        </w:rPr>
        <w:t>/Swagger File</w:t>
      </w:r>
      <w:r>
        <w:rPr>
          <w:i/>
          <w:color w:val="404040"/>
          <w:sz w:val="40"/>
        </w:rPr>
        <w:t xml:space="preserve">: </w:t>
      </w:r>
      <w:r w:rsidRPr="00DB1924">
        <w:rPr>
          <w:b/>
          <w:i/>
          <w:color w:val="404040"/>
          <w:sz w:val="40"/>
        </w:rPr>
        <w:t>R17.5 /v1.0.1</w:t>
      </w:r>
    </w:p>
    <w:p w:rsidR="00DE37F1" w:rsidRDefault="00DE37F1">
      <w:pPr>
        <w:pStyle w:val="BodyText"/>
        <w:rPr>
          <w:b/>
          <w:i/>
          <w:sz w:val="40"/>
        </w:rPr>
      </w:pPr>
    </w:p>
    <w:p w:rsidR="00DE37F1" w:rsidRDefault="00DE37F1">
      <w:pPr>
        <w:pStyle w:val="BodyText"/>
        <w:rPr>
          <w:b/>
          <w:i/>
          <w:sz w:val="40"/>
        </w:rPr>
      </w:pPr>
    </w:p>
    <w:p w:rsidR="00DE37F1" w:rsidRDefault="00DE37F1">
      <w:pPr>
        <w:pStyle w:val="BodyText"/>
        <w:rPr>
          <w:b/>
          <w:i/>
          <w:sz w:val="40"/>
        </w:rPr>
      </w:pPr>
    </w:p>
    <w:p w:rsidR="00DE37F1" w:rsidRDefault="00DE37F1">
      <w:pPr>
        <w:pStyle w:val="BodyText"/>
        <w:rPr>
          <w:b/>
          <w:i/>
          <w:sz w:val="40"/>
        </w:rPr>
      </w:pPr>
    </w:p>
    <w:p w:rsidR="00DE37F1" w:rsidRDefault="00DE37F1">
      <w:pPr>
        <w:pStyle w:val="BodyText"/>
        <w:rPr>
          <w:b/>
          <w:i/>
          <w:sz w:val="40"/>
        </w:rPr>
      </w:pPr>
    </w:p>
    <w:p w:rsidR="00DE37F1" w:rsidRDefault="00DE37F1">
      <w:pPr>
        <w:pStyle w:val="BodyText"/>
        <w:rPr>
          <w:b/>
          <w:i/>
          <w:sz w:val="40"/>
        </w:rPr>
      </w:pPr>
    </w:p>
    <w:p w:rsidR="00DE37F1" w:rsidRDefault="00DE37F1">
      <w:pPr>
        <w:pStyle w:val="BodyText"/>
        <w:spacing w:before="5"/>
        <w:rPr>
          <w:b/>
          <w:i/>
          <w:sz w:val="48"/>
        </w:rPr>
      </w:pPr>
    </w:p>
    <w:p w:rsidR="00DE37F1" w:rsidRDefault="008E284A">
      <w:pPr>
        <w:ind w:left="834"/>
        <w:rPr>
          <w:b/>
          <w:sz w:val="36"/>
        </w:rPr>
      </w:pPr>
      <w:r>
        <w:rPr>
          <w:b/>
          <w:color w:val="404040"/>
          <w:sz w:val="36"/>
        </w:rPr>
        <w:t>Report Date: 03.05.2018</w:t>
      </w:r>
    </w:p>
    <w:p w:rsidR="00DE37F1" w:rsidRDefault="00DE37F1">
      <w:pPr>
        <w:rPr>
          <w:sz w:val="36"/>
        </w:rPr>
        <w:sectPr w:rsidR="00DE37F1">
          <w:footerReference w:type="default" r:id="rId8"/>
          <w:type w:val="continuous"/>
          <w:pgSz w:w="12240" w:h="15840"/>
          <w:pgMar w:top="0" w:right="480" w:bottom="440" w:left="440" w:header="720" w:footer="258" w:gutter="0"/>
          <w:cols w:space="720"/>
        </w:sectPr>
      </w:pPr>
    </w:p>
    <w:p w:rsidR="00DE37F1" w:rsidRDefault="008E284A">
      <w:pPr>
        <w:pStyle w:val="BodyText"/>
        <w:rPr>
          <w:b/>
          <w:sz w:val="20"/>
        </w:rPr>
      </w:pPr>
      <w:r>
        <w:rPr>
          <w:noProof/>
        </w:rPr>
        <w:lastRenderedPageBreak/>
        <w:drawing>
          <wp:anchor distT="0" distB="0" distL="0" distR="0" simplePos="0" relativeHeight="268430351" behindDoc="1" locked="0" layoutInCell="1" allowOverlap="1">
            <wp:simplePos x="0" y="0"/>
            <wp:positionH relativeFrom="page">
              <wp:posOffset>0</wp:posOffset>
            </wp:positionH>
            <wp:positionV relativeFrom="page">
              <wp:posOffset>0</wp:posOffset>
            </wp:positionV>
            <wp:extent cx="7748778" cy="54038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7748778" cy="540384"/>
                    </a:xfrm>
                    <a:prstGeom prst="rect">
                      <a:avLst/>
                    </a:prstGeom>
                  </pic:spPr>
                </pic:pic>
              </a:graphicData>
            </a:graphic>
          </wp:anchor>
        </w:drawing>
      </w:r>
    </w:p>
    <w:p w:rsidR="00DE37F1" w:rsidRDefault="00DE37F1">
      <w:pPr>
        <w:pStyle w:val="BodyText"/>
        <w:spacing w:before="2"/>
        <w:rPr>
          <w:b/>
          <w:sz w:val="15"/>
        </w:rPr>
      </w:pPr>
    </w:p>
    <w:p w:rsidR="00DE37F1" w:rsidRDefault="008E284A">
      <w:pPr>
        <w:spacing w:before="59"/>
        <w:ind w:left="104" w:right="9053"/>
        <w:rPr>
          <w:sz w:val="20"/>
        </w:rPr>
      </w:pPr>
      <w:r>
        <w:rPr>
          <w:sz w:val="20"/>
        </w:rPr>
        <w:t>TM Forum Open APIs Conformance Certification</w:t>
      </w:r>
    </w:p>
    <w:p w:rsidR="00DE37F1" w:rsidRDefault="00DE37F1">
      <w:pPr>
        <w:pStyle w:val="BodyText"/>
        <w:rPr>
          <w:sz w:val="20"/>
        </w:rPr>
      </w:pPr>
    </w:p>
    <w:p w:rsidR="00DE37F1" w:rsidRDefault="008E284A">
      <w:pPr>
        <w:pStyle w:val="Heading1"/>
        <w:numPr>
          <w:ilvl w:val="0"/>
          <w:numId w:val="3"/>
        </w:numPr>
        <w:tabs>
          <w:tab w:val="left" w:pos="1566"/>
          <w:tab w:val="left" w:pos="1567"/>
        </w:tabs>
        <w:spacing w:before="197"/>
      </w:pPr>
      <w:r>
        <w:t>What Product or Solution does your API</w:t>
      </w:r>
      <w:r>
        <w:rPr>
          <w:spacing w:val="-6"/>
        </w:rPr>
        <w:t xml:space="preserve"> </w:t>
      </w:r>
      <w:r>
        <w:t>support?</w:t>
      </w:r>
    </w:p>
    <w:p w:rsidR="00DE37F1" w:rsidRDefault="00DE37F1">
      <w:pPr>
        <w:pStyle w:val="BodyText"/>
        <w:rPr>
          <w:b/>
        </w:rPr>
      </w:pPr>
    </w:p>
    <w:p w:rsidR="00DE37F1" w:rsidRDefault="008E284A">
      <w:pPr>
        <w:pStyle w:val="BodyText"/>
        <w:spacing w:before="1"/>
        <w:ind w:left="834" w:right="337"/>
      </w:pPr>
      <w:r>
        <w:t>The Digital Telco Lab is NTT DATA environment on which to develop and present the Digital Telco Architecture Vision in a real-world IT-solution built out of the components of the overall NTT Group portfolio to support digital transformation.</w:t>
      </w:r>
    </w:p>
    <w:p w:rsidR="00DE37F1" w:rsidRDefault="008E284A">
      <w:pPr>
        <w:pStyle w:val="BodyText"/>
        <w:ind w:left="834"/>
      </w:pPr>
      <w:r>
        <w:t>It applies the</w:t>
      </w:r>
      <w:r>
        <w:t xml:space="preserve"> new paradigm for the “Business of IT” to NTT DATA as a Global IT Innovator itself based on “Platform Thinking” in that it provides NTT DATA Know-How and Best Practices “as a Service”, namely on a Cloud-enabled Platform in which this know-how is turned int</w:t>
      </w:r>
      <w:r>
        <w:t>o technology that can be used in sales presentations, solution demos, Proofs of Concept actual project delivery and service and system operations.</w:t>
      </w:r>
    </w:p>
    <w:p w:rsidR="00DE37F1" w:rsidRDefault="008E284A">
      <w:pPr>
        <w:pStyle w:val="BodyText"/>
        <w:spacing w:before="9"/>
        <w:rPr>
          <w:sz w:val="18"/>
        </w:rPr>
      </w:pPr>
      <w:r>
        <w:rPr>
          <w:noProof/>
        </w:rPr>
        <w:drawing>
          <wp:anchor distT="0" distB="0" distL="0" distR="0" simplePos="0" relativeHeight="268431375" behindDoc="0" locked="0" layoutInCell="1" allowOverlap="1">
            <wp:simplePos x="0" y="0"/>
            <wp:positionH relativeFrom="page">
              <wp:posOffset>1230947</wp:posOffset>
            </wp:positionH>
            <wp:positionV relativeFrom="paragraph">
              <wp:posOffset>170395</wp:posOffset>
            </wp:positionV>
            <wp:extent cx="5754418" cy="2592324"/>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5754418" cy="2592324"/>
                    </a:xfrm>
                    <a:prstGeom prst="rect">
                      <a:avLst/>
                    </a:prstGeom>
                  </pic:spPr>
                </pic:pic>
              </a:graphicData>
            </a:graphic>
          </wp:anchor>
        </w:drawing>
      </w:r>
    </w:p>
    <w:p w:rsidR="00DE37F1" w:rsidRDefault="008E284A">
      <w:pPr>
        <w:ind w:left="3024" w:right="2979"/>
        <w:jc w:val="center"/>
        <w:rPr>
          <w:i/>
        </w:rPr>
      </w:pPr>
      <w:r>
        <w:rPr>
          <w:i/>
          <w:color w:val="2F2F2F"/>
        </w:rPr>
        <w:t>Figure 1: Capabilities for the Digital Telco</w:t>
      </w:r>
    </w:p>
    <w:p w:rsidR="00DE37F1" w:rsidRDefault="00DE37F1">
      <w:pPr>
        <w:pStyle w:val="BodyText"/>
        <w:spacing w:before="4"/>
        <w:rPr>
          <w:i/>
          <w:sz w:val="16"/>
        </w:rPr>
      </w:pPr>
    </w:p>
    <w:p w:rsidR="00DE37F1" w:rsidRDefault="008E284A">
      <w:pPr>
        <w:pStyle w:val="BodyText"/>
        <w:ind w:left="834"/>
      </w:pPr>
      <w:r>
        <w:t>The Telco Lab combines digital assets from NTT DATA (and Everis) in the areas of cloud, mobile, IoT, etc., and</w:t>
      </w:r>
    </w:p>
    <w:p w:rsidR="00DE37F1" w:rsidRDefault="008E284A">
      <w:pPr>
        <w:pStyle w:val="BodyText"/>
        <w:ind w:left="834" w:right="249"/>
      </w:pPr>
      <w:r>
        <w:t>applications for Digital Customer Engagement. The platform also integrates with NTT DATA’s Analysis and Big Data platform – resting on NTT DATA’s</w:t>
      </w:r>
      <w:r>
        <w:t xml:space="preserve"> heritage. In addition, it is open for integration of additional NTT DATA R&amp;D partners or start-ups for the creation of references. The Digital Telco Lab is constantly being extended to integrate new solution components and software products.</w:t>
      </w:r>
    </w:p>
    <w:p w:rsidR="00DE37F1" w:rsidRDefault="008E284A">
      <w:pPr>
        <w:pStyle w:val="BodyText"/>
        <w:spacing w:before="9"/>
        <w:rPr>
          <w:sz w:val="18"/>
        </w:rPr>
      </w:pPr>
      <w:r>
        <w:rPr>
          <w:noProof/>
        </w:rPr>
        <w:drawing>
          <wp:anchor distT="0" distB="0" distL="0" distR="0" simplePos="0" relativeHeight="2" behindDoc="0" locked="0" layoutInCell="1" allowOverlap="1">
            <wp:simplePos x="0" y="0"/>
            <wp:positionH relativeFrom="page">
              <wp:posOffset>1410080</wp:posOffset>
            </wp:positionH>
            <wp:positionV relativeFrom="paragraph">
              <wp:posOffset>170085</wp:posOffset>
            </wp:positionV>
            <wp:extent cx="5396210" cy="256032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396210" cy="2560320"/>
                    </a:xfrm>
                    <a:prstGeom prst="rect">
                      <a:avLst/>
                    </a:prstGeom>
                  </pic:spPr>
                </pic:pic>
              </a:graphicData>
            </a:graphic>
          </wp:anchor>
        </w:drawing>
      </w:r>
    </w:p>
    <w:p w:rsidR="00DE37F1" w:rsidRDefault="008E284A">
      <w:pPr>
        <w:ind w:left="3024" w:right="2984"/>
        <w:jc w:val="center"/>
        <w:rPr>
          <w:i/>
        </w:rPr>
      </w:pPr>
      <w:r>
        <w:rPr>
          <w:i/>
          <w:color w:val="2F2F2F"/>
        </w:rPr>
        <w:t>Figure 2 Di</w:t>
      </w:r>
      <w:r>
        <w:rPr>
          <w:i/>
          <w:color w:val="2F2F2F"/>
        </w:rPr>
        <w:t>gital Telco Architecture and the Digital Telco Lab</w:t>
      </w:r>
    </w:p>
    <w:p w:rsidR="00DE37F1" w:rsidRDefault="00DE37F1">
      <w:pPr>
        <w:jc w:val="center"/>
        <w:sectPr w:rsidR="00DE37F1">
          <w:footerReference w:type="default" r:id="rId11"/>
          <w:pgSz w:w="12240" w:h="15840"/>
          <w:pgMar w:top="0" w:right="480" w:bottom="440" w:left="440" w:header="0" w:footer="258" w:gutter="0"/>
          <w:pgNumType w:start="1"/>
          <w:cols w:space="720"/>
        </w:sectPr>
      </w:pPr>
    </w:p>
    <w:p w:rsidR="00DE37F1" w:rsidRDefault="008E284A">
      <w:pPr>
        <w:pStyle w:val="BodyText"/>
        <w:rPr>
          <w:i/>
          <w:sz w:val="20"/>
        </w:rPr>
      </w:pPr>
      <w:r>
        <w:rPr>
          <w:noProof/>
        </w:rPr>
        <w:lastRenderedPageBreak/>
        <w:drawing>
          <wp:anchor distT="0" distB="0" distL="0" distR="0" simplePos="0" relativeHeight="268430375" behindDoc="1" locked="0" layoutInCell="1" allowOverlap="1">
            <wp:simplePos x="0" y="0"/>
            <wp:positionH relativeFrom="page">
              <wp:posOffset>0</wp:posOffset>
            </wp:positionH>
            <wp:positionV relativeFrom="page">
              <wp:posOffset>0</wp:posOffset>
            </wp:positionV>
            <wp:extent cx="7748778" cy="54038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7748778" cy="540384"/>
                    </a:xfrm>
                    <a:prstGeom prst="rect">
                      <a:avLst/>
                    </a:prstGeom>
                  </pic:spPr>
                </pic:pic>
              </a:graphicData>
            </a:graphic>
          </wp:anchor>
        </w:drawing>
      </w:r>
    </w:p>
    <w:p w:rsidR="00DE37F1" w:rsidRDefault="00DE37F1">
      <w:pPr>
        <w:pStyle w:val="BodyText"/>
        <w:spacing w:before="2"/>
        <w:rPr>
          <w:i/>
          <w:sz w:val="15"/>
        </w:rPr>
      </w:pPr>
    </w:p>
    <w:p w:rsidR="00DE37F1" w:rsidRDefault="008E284A">
      <w:pPr>
        <w:spacing w:before="59"/>
        <w:ind w:left="104" w:right="9053"/>
        <w:rPr>
          <w:sz w:val="20"/>
        </w:rPr>
      </w:pPr>
      <w:r>
        <w:rPr>
          <w:sz w:val="20"/>
        </w:rPr>
        <w:t>TM Forum Open APIs Conformance Certification</w:t>
      </w:r>
    </w:p>
    <w:p w:rsidR="00DE37F1" w:rsidRDefault="00DE37F1">
      <w:pPr>
        <w:pStyle w:val="BodyText"/>
        <w:rPr>
          <w:sz w:val="20"/>
        </w:rPr>
      </w:pPr>
    </w:p>
    <w:p w:rsidR="00DE37F1" w:rsidRDefault="008E284A">
      <w:pPr>
        <w:pStyle w:val="BodyText"/>
        <w:spacing w:before="197"/>
        <w:ind w:left="834" w:right="544"/>
      </w:pPr>
      <w:r>
        <w:t>At face value, the Digital Telco Lab is a showcase for the principles of a Digital Telco Architecture. However, it is much more than this:</w:t>
      </w:r>
    </w:p>
    <w:p w:rsidR="00DE37F1" w:rsidRDefault="008E284A">
      <w:pPr>
        <w:pStyle w:val="ListParagraph"/>
        <w:numPr>
          <w:ilvl w:val="0"/>
          <w:numId w:val="2"/>
        </w:numPr>
        <w:tabs>
          <w:tab w:val="left" w:pos="1566"/>
          <w:tab w:val="left" w:pos="1567"/>
        </w:tabs>
        <w:spacing w:before="3" w:line="237" w:lineRule="auto"/>
        <w:ind w:right="475" w:firstLine="0"/>
      </w:pPr>
      <w:r>
        <w:t>It is composed out of cloud-based demo environments for the NTTD portfolio which are provided to the overall platform</w:t>
      </w:r>
      <w:r>
        <w:t xml:space="preserve"> and consumed as services to create the Digital Telco use</w:t>
      </w:r>
      <w:r>
        <w:rPr>
          <w:spacing w:val="-4"/>
        </w:rPr>
        <w:t xml:space="preserve"> </w:t>
      </w:r>
      <w:r>
        <w:t>case</w:t>
      </w:r>
    </w:p>
    <w:p w:rsidR="00DE37F1" w:rsidRDefault="008E284A">
      <w:pPr>
        <w:pStyle w:val="ListParagraph"/>
        <w:numPr>
          <w:ilvl w:val="0"/>
          <w:numId w:val="2"/>
        </w:numPr>
        <w:tabs>
          <w:tab w:val="left" w:pos="1566"/>
          <w:tab w:val="left" w:pos="1567"/>
        </w:tabs>
        <w:spacing w:before="1"/>
        <w:ind w:right="686" w:firstLine="0"/>
      </w:pPr>
      <w:r>
        <w:t>It is based on a common platform to share technology know-how across diverse NTT(D) units that are provided on this</w:t>
      </w:r>
      <w:r>
        <w:rPr>
          <w:spacing w:val="-6"/>
        </w:rPr>
        <w:t xml:space="preserve"> </w:t>
      </w:r>
      <w:r>
        <w:t>platform</w:t>
      </w:r>
    </w:p>
    <w:p w:rsidR="00DE37F1" w:rsidRDefault="008E284A">
      <w:pPr>
        <w:pStyle w:val="ListParagraph"/>
        <w:numPr>
          <w:ilvl w:val="0"/>
          <w:numId w:val="2"/>
        </w:numPr>
        <w:tabs>
          <w:tab w:val="left" w:pos="1566"/>
          <w:tab w:val="left" w:pos="1567"/>
        </w:tabs>
        <w:spacing w:before="1"/>
        <w:ind w:right="350" w:firstLine="0"/>
      </w:pPr>
      <w:r>
        <w:t>In this guise, existing assets at NTTD are reused and put into context and specific partner products can be integrated (e.g. Genesys,</w:t>
      </w:r>
      <w:r>
        <w:rPr>
          <w:spacing w:val="-4"/>
        </w:rPr>
        <w:t xml:space="preserve"> </w:t>
      </w:r>
      <w:r>
        <w:t>Salesforce,…)</w:t>
      </w:r>
    </w:p>
    <w:p w:rsidR="00DE37F1" w:rsidRDefault="008E284A">
      <w:pPr>
        <w:pStyle w:val="ListParagraph"/>
        <w:numPr>
          <w:ilvl w:val="0"/>
          <w:numId w:val="2"/>
        </w:numPr>
        <w:tabs>
          <w:tab w:val="left" w:pos="1566"/>
          <w:tab w:val="left" w:pos="1567"/>
        </w:tabs>
        <w:ind w:right="558" w:firstLine="0"/>
      </w:pPr>
      <w:r>
        <w:t>The enablement of the services provided in the Digital Lab is enabled by NTT DATA’s Altemista Cloud, a PaaS-</w:t>
      </w:r>
      <w:r>
        <w:t>based DevOps infrastructure on top of Kubernetes/Openshift which supports the end-to-end application delivery process which can be re-used for all kinds of projects, whether or not they depend on other lab components.</w:t>
      </w:r>
    </w:p>
    <w:p w:rsidR="00DE37F1" w:rsidRDefault="008E284A">
      <w:pPr>
        <w:pStyle w:val="ListParagraph"/>
        <w:numPr>
          <w:ilvl w:val="0"/>
          <w:numId w:val="2"/>
        </w:numPr>
        <w:tabs>
          <w:tab w:val="left" w:pos="1566"/>
          <w:tab w:val="left" w:pos="1567"/>
        </w:tabs>
        <w:spacing w:before="2"/>
        <w:ind w:right="199" w:firstLine="0"/>
      </w:pPr>
      <w:r>
        <w:t>Finally, a link to the NTT Communicati</w:t>
      </w:r>
      <w:r>
        <w:t>ons Enterprise Cloud is created in order to be able to offer a full service portfolio across all layers with internal NTT Services, while at the same time be open to support other cloud environments as</w:t>
      </w:r>
      <w:r>
        <w:rPr>
          <w:spacing w:val="-2"/>
        </w:rPr>
        <w:t xml:space="preserve"> </w:t>
      </w:r>
      <w:r>
        <w:t>well.</w:t>
      </w:r>
    </w:p>
    <w:p w:rsidR="00477CA5" w:rsidRDefault="00477CA5">
      <w:pPr>
        <w:pStyle w:val="ListParagraph"/>
        <w:numPr>
          <w:ilvl w:val="0"/>
          <w:numId w:val="2"/>
        </w:numPr>
        <w:tabs>
          <w:tab w:val="left" w:pos="1566"/>
          <w:tab w:val="left" w:pos="1567"/>
        </w:tabs>
        <w:spacing w:before="2"/>
        <w:ind w:right="199" w:firstLine="0"/>
      </w:pPr>
    </w:p>
    <w:p w:rsidR="00DE37F1" w:rsidRDefault="008E284A">
      <w:pPr>
        <w:pStyle w:val="BodyText"/>
        <w:ind w:left="1722"/>
        <w:rPr>
          <w:sz w:val="20"/>
        </w:rPr>
      </w:pPr>
      <w:r>
        <w:rPr>
          <w:noProof/>
          <w:sz w:val="20"/>
        </w:rPr>
        <w:drawing>
          <wp:inline distT="0" distB="0" distL="0" distR="0">
            <wp:extent cx="5504812" cy="221770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5504812" cy="2217705"/>
                    </a:xfrm>
                    <a:prstGeom prst="rect">
                      <a:avLst/>
                    </a:prstGeom>
                  </pic:spPr>
                </pic:pic>
              </a:graphicData>
            </a:graphic>
          </wp:inline>
        </w:drawing>
      </w:r>
    </w:p>
    <w:p w:rsidR="00DE37F1" w:rsidRDefault="008E284A">
      <w:pPr>
        <w:ind w:left="2704"/>
        <w:rPr>
          <w:i/>
        </w:rPr>
      </w:pPr>
      <w:r>
        <w:rPr>
          <w:i/>
          <w:color w:val="2F2F2F"/>
        </w:rPr>
        <w:t>Figure 3: NTT DATA Digital Telco Lab as a Co-Creation environment</w:t>
      </w:r>
    </w:p>
    <w:p w:rsidR="00DE37F1" w:rsidRDefault="00DE37F1">
      <w:pPr>
        <w:pStyle w:val="BodyText"/>
        <w:spacing w:before="4"/>
        <w:rPr>
          <w:i/>
          <w:sz w:val="16"/>
        </w:rPr>
      </w:pPr>
    </w:p>
    <w:p w:rsidR="00DE37F1" w:rsidRDefault="008E284A">
      <w:pPr>
        <w:pStyle w:val="BodyText"/>
        <w:ind w:left="834" w:right="191"/>
      </w:pPr>
      <w:r>
        <w:t>For that purpose, NTT DATA’s CSP clients and NTT DATA will jointly use the Digital Telco Lab to evaluate technologies and software products, and to co-create new relevant solutions. These m</w:t>
      </w:r>
      <w:r>
        <w:t>ay then seamlessly evolve to become Proofs of Concept (PoC) and pilot projects in the concrete context of NTT DATA’s CSP clients, which can be used to transport the future experience to various stakeholders in the enterprise. In addition, there is an optio</w:t>
      </w:r>
      <w:r>
        <w:t>n to promote Digital Telco Lab solutions into the regular assembly line for productive systems.</w:t>
      </w:r>
    </w:p>
    <w:p w:rsidR="00DE37F1" w:rsidRDefault="008E284A">
      <w:pPr>
        <w:pStyle w:val="BodyText"/>
        <w:spacing w:before="2"/>
        <w:ind w:left="834" w:right="272"/>
      </w:pPr>
      <w:r>
        <w:t>Beyond practically bringing innovation to NTT DATA’s CSP clients in Germany, the Digital Lab allows us to link to innovation initiatives within the overall Telc</w:t>
      </w:r>
      <w:r>
        <w:t>o market. This may especially pertain to NTT DATA’s CSP clients on the global level, and is our central point for innovation initivate, e.g. by launching joint TM Forum Catalyst projects.</w:t>
      </w:r>
    </w:p>
    <w:p w:rsidR="00DE37F1" w:rsidRDefault="008E284A">
      <w:pPr>
        <w:pStyle w:val="BodyText"/>
        <w:ind w:left="834" w:right="199"/>
      </w:pPr>
      <w:r>
        <w:t>TM Forum’s Open APIs are an integral part of NTT DATA’s view on Digi</w:t>
      </w:r>
      <w:r>
        <w:t>tal Telco Architecture which we have implemented in our Digital Telco Lab facility in Germany (set-up, live &amp; in-use), within which we have implemented key TM Forum Open APIs.</w:t>
      </w:r>
    </w:p>
    <w:p w:rsidR="00DE37F1" w:rsidRDefault="008E284A">
      <w:pPr>
        <w:pStyle w:val="BodyText"/>
        <w:ind w:left="834" w:right="103"/>
      </w:pPr>
      <w:r>
        <w:t>Through this implementation and integration work, we are actively bringing toget</w:t>
      </w:r>
      <w:r>
        <w:t>her leading vendor solutions, partners and clients in a collaborative eco-system of Open API, Open Source and Open Standards development. This has included accelerators and co-creation with clients in the Element &amp; API Enabled Service Layers focused on Cha</w:t>
      </w:r>
      <w:r>
        <w:t>tbots, Voice UI, Natural Language Processing, Predictive Analytics and Intelligent Automation.</w:t>
      </w:r>
    </w:p>
    <w:p w:rsidR="00DE37F1" w:rsidRDefault="008E284A">
      <w:pPr>
        <w:pStyle w:val="BodyText"/>
        <w:ind w:left="834"/>
      </w:pPr>
      <w:r>
        <w:t>A representation of NTT DATA’s Digital Telco Lab, Digital Telco Architecture is shown in the adjacent diagram.</w:t>
      </w:r>
    </w:p>
    <w:p w:rsidR="00DE37F1" w:rsidRDefault="00DE37F1">
      <w:pPr>
        <w:sectPr w:rsidR="00DE37F1">
          <w:pgSz w:w="12240" w:h="15840"/>
          <w:pgMar w:top="0" w:right="480" w:bottom="440" w:left="440" w:header="0" w:footer="258" w:gutter="0"/>
          <w:cols w:space="720"/>
        </w:sectPr>
      </w:pPr>
    </w:p>
    <w:p w:rsidR="00DE37F1" w:rsidRDefault="008E284A">
      <w:pPr>
        <w:pStyle w:val="BodyText"/>
        <w:rPr>
          <w:sz w:val="20"/>
        </w:rPr>
      </w:pPr>
      <w:r>
        <w:rPr>
          <w:noProof/>
        </w:rPr>
        <w:lastRenderedPageBreak/>
        <w:drawing>
          <wp:anchor distT="0" distB="0" distL="0" distR="0" simplePos="0" relativeHeight="268430423" behindDoc="1" locked="0" layoutInCell="1" allowOverlap="1">
            <wp:simplePos x="0" y="0"/>
            <wp:positionH relativeFrom="page">
              <wp:posOffset>0</wp:posOffset>
            </wp:positionH>
            <wp:positionV relativeFrom="page">
              <wp:posOffset>0</wp:posOffset>
            </wp:positionV>
            <wp:extent cx="7748778" cy="540384"/>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7748778" cy="540384"/>
                    </a:xfrm>
                    <a:prstGeom prst="rect">
                      <a:avLst/>
                    </a:prstGeom>
                  </pic:spPr>
                </pic:pic>
              </a:graphicData>
            </a:graphic>
          </wp:anchor>
        </w:drawing>
      </w:r>
    </w:p>
    <w:p w:rsidR="00DE37F1" w:rsidRDefault="00DE37F1">
      <w:pPr>
        <w:pStyle w:val="BodyText"/>
        <w:spacing w:before="2"/>
        <w:rPr>
          <w:sz w:val="15"/>
        </w:rPr>
      </w:pPr>
    </w:p>
    <w:p w:rsidR="00DE37F1" w:rsidRDefault="008E284A">
      <w:pPr>
        <w:spacing w:before="59"/>
        <w:ind w:left="104" w:right="9053"/>
        <w:rPr>
          <w:sz w:val="20"/>
        </w:rPr>
      </w:pPr>
      <w:r>
        <w:rPr>
          <w:sz w:val="20"/>
        </w:rPr>
        <w:t>TM Forum Open APIs Conformance Ce</w:t>
      </w:r>
      <w:r>
        <w:rPr>
          <w:sz w:val="20"/>
        </w:rPr>
        <w:t>rtification</w:t>
      </w:r>
    </w:p>
    <w:p w:rsidR="00DE37F1" w:rsidRDefault="00DE37F1">
      <w:pPr>
        <w:pStyle w:val="BodyText"/>
        <w:rPr>
          <w:sz w:val="20"/>
        </w:rPr>
      </w:pPr>
    </w:p>
    <w:p w:rsidR="00DE37F1" w:rsidRDefault="008E284A">
      <w:pPr>
        <w:pStyle w:val="BodyText"/>
        <w:spacing w:before="197"/>
        <w:ind w:left="834" w:right="113"/>
      </w:pPr>
      <w:r>
        <w:t>The Digital Telco Lab will provide a foundation and facility provisioned by NTT DATA, through which NTT DATA’s CSP clients can realise and work on their roadmap roadmap to open source Common Service Model APIs, work with other clients across t</w:t>
      </w:r>
      <w:r>
        <w:t>he Telco industry as well as leading solutions vendors to create a focus partner eco-system.</w:t>
      </w:r>
    </w:p>
    <w:p w:rsidR="00DE37F1" w:rsidRDefault="00DE37F1">
      <w:pPr>
        <w:pStyle w:val="BodyText"/>
        <w:spacing w:before="11"/>
        <w:rPr>
          <w:sz w:val="21"/>
        </w:rPr>
      </w:pPr>
    </w:p>
    <w:p w:rsidR="00DE37F1" w:rsidRDefault="008E284A">
      <w:pPr>
        <w:pStyle w:val="Heading1"/>
        <w:numPr>
          <w:ilvl w:val="0"/>
          <w:numId w:val="3"/>
        </w:numPr>
        <w:tabs>
          <w:tab w:val="left" w:pos="1566"/>
          <w:tab w:val="left" w:pos="1567"/>
        </w:tabs>
      </w:pPr>
      <w:r>
        <w:t>Overview of Certified</w:t>
      </w:r>
      <w:r>
        <w:rPr>
          <w:spacing w:val="-2"/>
        </w:rPr>
        <w:t xml:space="preserve"> </w:t>
      </w:r>
      <w:r>
        <w:t>API</w:t>
      </w:r>
    </w:p>
    <w:p w:rsidR="00477CA5" w:rsidRDefault="00477CA5" w:rsidP="00477CA5">
      <w:pPr>
        <w:pStyle w:val="Heading1"/>
        <w:tabs>
          <w:tab w:val="left" w:pos="1566"/>
          <w:tab w:val="left" w:pos="1567"/>
        </w:tabs>
        <w:ind w:left="834" w:firstLine="0"/>
      </w:pPr>
    </w:p>
    <w:p w:rsidR="00DE37F1" w:rsidRDefault="008E284A">
      <w:pPr>
        <w:pStyle w:val="BodyText"/>
        <w:ind w:left="834"/>
      </w:pPr>
      <w:r>
        <w:t>The Payment Methods API allows the following operations</w:t>
      </w:r>
    </w:p>
    <w:p w:rsidR="00DE37F1" w:rsidRDefault="008E284A">
      <w:pPr>
        <w:pStyle w:val="ListParagraph"/>
        <w:numPr>
          <w:ilvl w:val="0"/>
          <w:numId w:val="1"/>
        </w:numPr>
        <w:tabs>
          <w:tab w:val="left" w:pos="1566"/>
          <w:tab w:val="left" w:pos="1567"/>
        </w:tabs>
      </w:pPr>
      <w:r>
        <w:t>Retrieve a list of payment methods stored in a server filtered by a given</w:t>
      </w:r>
      <w:r>
        <w:rPr>
          <w:spacing w:val="-14"/>
        </w:rPr>
        <w:t xml:space="preserve"> </w:t>
      </w:r>
      <w:r>
        <w:t>criteria</w:t>
      </w:r>
    </w:p>
    <w:p w:rsidR="00DE37F1" w:rsidRDefault="008E284A">
      <w:pPr>
        <w:pStyle w:val="ListParagraph"/>
        <w:numPr>
          <w:ilvl w:val="0"/>
          <w:numId w:val="1"/>
        </w:numPr>
        <w:tabs>
          <w:tab w:val="left" w:pos="1566"/>
          <w:tab w:val="left" w:pos="1567"/>
        </w:tabs>
        <w:spacing w:before="1"/>
      </w:pPr>
      <w:r>
        <w:t>Retrieve a specific payment</w:t>
      </w:r>
      <w:r>
        <w:rPr>
          <w:spacing w:val="-3"/>
        </w:rPr>
        <w:t xml:space="preserve"> </w:t>
      </w:r>
      <w:r>
        <w:t>method</w:t>
      </w:r>
    </w:p>
    <w:p w:rsidR="00DE37F1" w:rsidRDefault="008E284A">
      <w:pPr>
        <w:pStyle w:val="ListParagraph"/>
        <w:numPr>
          <w:ilvl w:val="0"/>
          <w:numId w:val="1"/>
        </w:numPr>
        <w:tabs>
          <w:tab w:val="left" w:pos="1566"/>
          <w:tab w:val="left" w:pos="1567"/>
        </w:tabs>
      </w:pPr>
      <w:r>
        <w:t>Delete a specific payment</w:t>
      </w:r>
      <w:r>
        <w:rPr>
          <w:spacing w:val="-10"/>
        </w:rPr>
        <w:t xml:space="preserve"> </w:t>
      </w:r>
      <w:r>
        <w:t>method</w:t>
      </w:r>
    </w:p>
    <w:p w:rsidR="00DE37F1" w:rsidRDefault="008E284A">
      <w:pPr>
        <w:pStyle w:val="ListParagraph"/>
        <w:numPr>
          <w:ilvl w:val="0"/>
          <w:numId w:val="1"/>
        </w:numPr>
        <w:tabs>
          <w:tab w:val="left" w:pos="1566"/>
          <w:tab w:val="left" w:pos="1567"/>
        </w:tabs>
      </w:pPr>
      <w:r>
        <w:t>Retrieve a list of payment methods associated to an account filtered by a given</w:t>
      </w:r>
      <w:r>
        <w:rPr>
          <w:spacing w:val="-23"/>
        </w:rPr>
        <w:t xml:space="preserve"> </w:t>
      </w:r>
      <w:r>
        <w:t>criteria</w:t>
      </w:r>
    </w:p>
    <w:p w:rsidR="00DE37F1" w:rsidRDefault="008E284A">
      <w:pPr>
        <w:pStyle w:val="BodyText"/>
        <w:ind w:left="834"/>
      </w:pPr>
      <w:r>
        <w:t>Its main entity is the “PaymentsMethod” Resource which can be used to search and retrieve Payment Methods in</w:t>
      </w:r>
    </w:p>
    <w:p w:rsidR="00DE37F1" w:rsidRDefault="008E284A">
      <w:pPr>
        <w:pStyle w:val="BodyText"/>
        <w:spacing w:before="1"/>
        <w:ind w:left="834"/>
      </w:pPr>
      <w:r>
        <w:t>bulk or specifically for a dedicated account.</w:t>
      </w:r>
    </w:p>
    <w:p w:rsidR="00DE37F1" w:rsidRDefault="00DE37F1">
      <w:pPr>
        <w:pStyle w:val="BodyText"/>
        <w:spacing w:before="10"/>
        <w:rPr>
          <w:sz w:val="21"/>
        </w:rPr>
      </w:pPr>
    </w:p>
    <w:p w:rsidR="00DE37F1" w:rsidRDefault="008E284A">
      <w:pPr>
        <w:pStyle w:val="Heading1"/>
        <w:numPr>
          <w:ilvl w:val="0"/>
          <w:numId w:val="3"/>
        </w:numPr>
        <w:tabs>
          <w:tab w:val="left" w:pos="1566"/>
          <w:tab w:val="left" w:pos="1567"/>
        </w:tabs>
        <w:spacing w:before="1"/>
      </w:pPr>
      <w:r>
        <w:t>Architectural</w:t>
      </w:r>
      <w:r>
        <w:rPr>
          <w:spacing w:val="-1"/>
        </w:rPr>
        <w:t xml:space="preserve"> </w:t>
      </w:r>
      <w:r>
        <w:t>View</w:t>
      </w:r>
    </w:p>
    <w:p w:rsidR="00477CA5" w:rsidRDefault="00477CA5" w:rsidP="00477CA5">
      <w:pPr>
        <w:pStyle w:val="Heading1"/>
        <w:tabs>
          <w:tab w:val="left" w:pos="1566"/>
          <w:tab w:val="left" w:pos="1567"/>
        </w:tabs>
        <w:spacing w:before="1"/>
        <w:ind w:left="834" w:firstLine="0"/>
      </w:pPr>
    </w:p>
    <w:p w:rsidR="00DE37F1" w:rsidRDefault="008E284A">
      <w:pPr>
        <w:pStyle w:val="BodyText"/>
        <w:ind w:left="834" w:right="270"/>
      </w:pPr>
      <w:r>
        <w:t>The following diagram shows an overall view of components and technologies availa</w:t>
      </w:r>
      <w:r>
        <w:t>ble in the Digital Telco Lab for use in customer demos, proofs-of-concept and co-creation environments.</w:t>
      </w:r>
    </w:p>
    <w:p w:rsidR="00DE37F1" w:rsidRDefault="008E284A">
      <w:pPr>
        <w:pStyle w:val="BodyText"/>
        <w:ind w:left="834" w:right="296"/>
      </w:pPr>
      <w:r>
        <w:t>Note the central role of the TM Forum Open APIs to enable a mix and match of complementary, overlapping and competitive solutions as a flexible basis fo</w:t>
      </w:r>
      <w:r>
        <w:t>r using the Digital Telco Lab: The same use cases can be implemented using different combinations of bespoke and COTS components according to NTT DATA’s CSP clients’ preferences, using the TM Forum Open APIs to provide loose coupling as required for the sp</w:t>
      </w:r>
      <w:r>
        <w:t>ecific situation.</w:t>
      </w:r>
    </w:p>
    <w:p w:rsidR="00DE37F1" w:rsidRDefault="008E284A">
      <w:pPr>
        <w:pStyle w:val="BodyText"/>
        <w:spacing w:before="11"/>
        <w:rPr>
          <w:sz w:val="18"/>
        </w:rPr>
      </w:pPr>
      <w:r>
        <w:rPr>
          <w:noProof/>
        </w:rPr>
        <w:drawing>
          <wp:anchor distT="0" distB="0" distL="0" distR="0" simplePos="0" relativeHeight="5" behindDoc="0" locked="0" layoutInCell="1" allowOverlap="1">
            <wp:simplePos x="0" y="0"/>
            <wp:positionH relativeFrom="page">
              <wp:posOffset>810259</wp:posOffset>
            </wp:positionH>
            <wp:positionV relativeFrom="paragraph">
              <wp:posOffset>171483</wp:posOffset>
            </wp:positionV>
            <wp:extent cx="6193232" cy="2985039"/>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3" cstate="print"/>
                    <a:stretch>
                      <a:fillRect/>
                    </a:stretch>
                  </pic:blipFill>
                  <pic:spPr>
                    <a:xfrm>
                      <a:off x="0" y="0"/>
                      <a:ext cx="6193232" cy="2985039"/>
                    </a:xfrm>
                    <a:prstGeom prst="rect">
                      <a:avLst/>
                    </a:prstGeom>
                  </pic:spPr>
                </pic:pic>
              </a:graphicData>
            </a:graphic>
          </wp:anchor>
        </w:drawing>
      </w:r>
    </w:p>
    <w:p w:rsidR="00DE37F1" w:rsidRDefault="008E284A">
      <w:pPr>
        <w:ind w:left="4085"/>
        <w:rPr>
          <w:i/>
        </w:rPr>
      </w:pPr>
      <w:r>
        <w:rPr>
          <w:i/>
          <w:color w:val="2F2F2F"/>
        </w:rPr>
        <w:t>Figure 4: DTL Architecture Overview</w:t>
      </w:r>
    </w:p>
    <w:p w:rsidR="00DE37F1" w:rsidRDefault="00DE37F1">
      <w:pPr>
        <w:pStyle w:val="BodyText"/>
        <w:rPr>
          <w:i/>
        </w:rPr>
      </w:pPr>
    </w:p>
    <w:p w:rsidR="00DE37F1" w:rsidRDefault="00DE37F1">
      <w:pPr>
        <w:pStyle w:val="BodyText"/>
        <w:spacing w:before="4"/>
        <w:rPr>
          <w:i/>
          <w:sz w:val="16"/>
        </w:rPr>
      </w:pPr>
    </w:p>
    <w:p w:rsidR="00DE37F1" w:rsidRDefault="008E284A">
      <w:pPr>
        <w:pStyle w:val="BodyText"/>
        <w:ind w:left="834" w:right="606"/>
      </w:pPr>
      <w:r>
        <w:t>As an example, for a specific showcase implemented on the Digital Telco Lab, the following diagram shows the architecture of the Omni-Channel User Lifecycle Management Demo in the Digital Telco Lab:</w:t>
      </w:r>
    </w:p>
    <w:p w:rsidR="00DE37F1" w:rsidRDefault="00DE37F1">
      <w:pPr>
        <w:sectPr w:rsidR="00DE37F1">
          <w:pgSz w:w="12240" w:h="15840"/>
          <w:pgMar w:top="0" w:right="480" w:bottom="440" w:left="440" w:header="0" w:footer="258" w:gutter="0"/>
          <w:cols w:space="720"/>
        </w:sectPr>
      </w:pPr>
    </w:p>
    <w:p w:rsidR="00DE37F1" w:rsidRDefault="008E284A">
      <w:pPr>
        <w:pStyle w:val="BodyText"/>
        <w:rPr>
          <w:sz w:val="20"/>
        </w:rPr>
      </w:pPr>
      <w:r>
        <w:rPr>
          <w:noProof/>
        </w:rPr>
        <w:lastRenderedPageBreak/>
        <w:drawing>
          <wp:anchor distT="0" distB="0" distL="0" distR="0" simplePos="0" relativeHeight="268430471" behindDoc="1" locked="0" layoutInCell="1" allowOverlap="1">
            <wp:simplePos x="0" y="0"/>
            <wp:positionH relativeFrom="page">
              <wp:posOffset>0</wp:posOffset>
            </wp:positionH>
            <wp:positionV relativeFrom="page">
              <wp:posOffset>0</wp:posOffset>
            </wp:positionV>
            <wp:extent cx="7748778" cy="540384"/>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7748778" cy="540384"/>
                    </a:xfrm>
                    <a:prstGeom prst="rect">
                      <a:avLst/>
                    </a:prstGeom>
                  </pic:spPr>
                </pic:pic>
              </a:graphicData>
            </a:graphic>
          </wp:anchor>
        </w:drawing>
      </w:r>
    </w:p>
    <w:p w:rsidR="00DE37F1" w:rsidRDefault="00DE37F1">
      <w:pPr>
        <w:pStyle w:val="BodyText"/>
        <w:spacing w:before="2"/>
        <w:rPr>
          <w:sz w:val="15"/>
        </w:rPr>
      </w:pPr>
    </w:p>
    <w:p w:rsidR="00DE37F1" w:rsidRDefault="008E284A">
      <w:pPr>
        <w:spacing w:before="59"/>
        <w:ind w:left="104" w:right="9053"/>
        <w:rPr>
          <w:sz w:val="20"/>
        </w:rPr>
      </w:pPr>
      <w:r>
        <w:rPr>
          <w:sz w:val="20"/>
        </w:rPr>
        <w:t>TM Forum Open APIs Conformance Certification</w:t>
      </w:r>
    </w:p>
    <w:p w:rsidR="00DE37F1" w:rsidRDefault="00DE37F1">
      <w:pPr>
        <w:pStyle w:val="BodyText"/>
        <w:rPr>
          <w:sz w:val="20"/>
        </w:rPr>
      </w:pPr>
    </w:p>
    <w:p w:rsidR="00DE37F1" w:rsidRDefault="008E284A">
      <w:pPr>
        <w:pStyle w:val="BodyText"/>
        <w:rPr>
          <w:sz w:val="13"/>
        </w:rPr>
      </w:pPr>
      <w:r>
        <w:rPr>
          <w:noProof/>
        </w:rPr>
        <w:drawing>
          <wp:anchor distT="0" distB="0" distL="0" distR="0" simplePos="0" relativeHeight="7" behindDoc="0" locked="0" layoutInCell="1" allowOverlap="1">
            <wp:simplePos x="0" y="0"/>
            <wp:positionH relativeFrom="page">
              <wp:posOffset>810259</wp:posOffset>
            </wp:positionH>
            <wp:positionV relativeFrom="paragraph">
              <wp:posOffset>125559</wp:posOffset>
            </wp:positionV>
            <wp:extent cx="6186259" cy="3319462"/>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4" cstate="print"/>
                    <a:stretch>
                      <a:fillRect/>
                    </a:stretch>
                  </pic:blipFill>
                  <pic:spPr>
                    <a:xfrm>
                      <a:off x="0" y="0"/>
                      <a:ext cx="6186259" cy="3319462"/>
                    </a:xfrm>
                    <a:prstGeom prst="rect">
                      <a:avLst/>
                    </a:prstGeom>
                  </pic:spPr>
                </pic:pic>
              </a:graphicData>
            </a:graphic>
          </wp:anchor>
        </w:drawing>
      </w:r>
    </w:p>
    <w:p w:rsidR="00DE37F1" w:rsidRDefault="008E284A">
      <w:pPr>
        <w:spacing w:line="247" w:lineRule="exact"/>
        <w:ind w:left="2202"/>
        <w:rPr>
          <w:i/>
          <w:color w:val="2F2F2F"/>
        </w:rPr>
      </w:pPr>
      <w:r>
        <w:rPr>
          <w:i/>
          <w:color w:val="2F2F2F"/>
        </w:rPr>
        <w:t>Figure 5: Architecture Overview for Omni-Channel User Lifecycle Management</w:t>
      </w:r>
    </w:p>
    <w:p w:rsidR="00477CA5" w:rsidRDefault="00477CA5">
      <w:pPr>
        <w:spacing w:line="247" w:lineRule="exact"/>
        <w:ind w:left="2202"/>
        <w:rPr>
          <w:i/>
          <w:color w:val="2F2F2F"/>
        </w:rPr>
      </w:pPr>
    </w:p>
    <w:p w:rsidR="00477CA5" w:rsidRPr="00BC1936" w:rsidRDefault="00477CA5" w:rsidP="00477CA5">
      <w:pPr>
        <w:pStyle w:val="Heading1"/>
        <w:tabs>
          <w:tab w:val="left" w:pos="1566"/>
          <w:tab w:val="left" w:pos="1567"/>
        </w:tabs>
        <w:ind w:left="834" w:firstLine="0"/>
      </w:pPr>
    </w:p>
    <w:p w:rsidR="00477CA5" w:rsidRDefault="00477CA5" w:rsidP="00477CA5">
      <w:pPr>
        <w:pStyle w:val="Heading1"/>
        <w:numPr>
          <w:ilvl w:val="0"/>
          <w:numId w:val="3"/>
        </w:numPr>
        <w:tabs>
          <w:tab w:val="left" w:pos="1566"/>
          <w:tab w:val="left" w:pos="1567"/>
        </w:tabs>
        <w:spacing w:before="1"/>
      </w:pPr>
      <w:r>
        <w:t>Test Results (HTML file)</w:t>
      </w:r>
    </w:p>
    <w:p w:rsidR="00477CA5" w:rsidRDefault="00477CA5" w:rsidP="00477CA5">
      <w:pPr>
        <w:pStyle w:val="BodyText"/>
        <w:ind w:left="1134"/>
      </w:pPr>
    </w:p>
    <w:p w:rsidR="00477CA5" w:rsidRDefault="00477CA5" w:rsidP="00477CA5">
      <w:pPr>
        <w:pStyle w:val="BodyText"/>
        <w:ind w:left="1134"/>
      </w:pPr>
    </w:p>
    <w:bookmarkStart w:id="0" w:name="_GoBack"/>
    <w:bookmarkEnd w:id="0"/>
    <w:p w:rsidR="00477CA5" w:rsidRDefault="00477CA5" w:rsidP="00477CA5">
      <w:pPr>
        <w:spacing w:before="55"/>
        <w:ind w:left="2184" w:right="2142"/>
        <w:jc w:val="center"/>
        <w:rPr>
          <w:i/>
        </w:rPr>
      </w:pPr>
      <w:r>
        <w:rPr>
          <w:i/>
        </w:rPr>
        <w:object w:dxaOrig="1531"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Package" ShapeID="_x0000_i1025" DrawAspect="Icon" ObjectID="_1626272398" r:id="rId16"/>
        </w:object>
      </w:r>
    </w:p>
    <w:sectPr w:rsidR="00477CA5">
      <w:pgSz w:w="12240" w:h="15840"/>
      <w:pgMar w:top="0" w:right="480" w:bottom="440" w:left="440" w:header="0" w:footer="2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84A" w:rsidRDefault="008E284A">
      <w:r>
        <w:separator/>
      </w:r>
    </w:p>
  </w:endnote>
  <w:endnote w:type="continuationSeparator" w:id="0">
    <w:p w:rsidR="008E284A" w:rsidRDefault="008E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7F1" w:rsidRDefault="008E284A">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31.45pt;margin-top:768.1pt;width:44pt;height:12.65pt;z-index:-5176;mso-position-horizontal-relative:page;mso-position-vertical-relative:page" filled="f" stroked="f">
          <v:textbox inset="0,0,0,0">
            <w:txbxContent>
              <w:p w:rsidR="00DE37F1" w:rsidRDefault="008E284A">
                <w:pPr>
                  <w:spacing w:line="237" w:lineRule="exact"/>
                  <w:ind w:left="20"/>
                  <w:rPr>
                    <w:rFonts w:ascii="Arial"/>
                    <w:i/>
                    <w:sz w:val="18"/>
                  </w:rPr>
                </w:pPr>
                <w:r>
                  <w:rPr>
                    <w:color w:val="252525"/>
                    <w:sz w:val="20"/>
                  </w:rPr>
                  <w:t xml:space="preserve">Page </w:t>
                </w:r>
                <w:r>
                  <w:rPr>
                    <w:rFonts w:ascii="Arial"/>
                    <w:i/>
                    <w:color w:val="252525"/>
                    <w:sz w:val="18"/>
                  </w:rPr>
                  <w:t>0</w:t>
                </w:r>
                <w:r>
                  <w:rPr>
                    <w:rFonts w:ascii="Arial"/>
                    <w:i/>
                    <w:color w:val="252525"/>
                    <w:spacing w:val="-37"/>
                    <w:sz w:val="18"/>
                  </w:rPr>
                  <w:t xml:space="preserve"> </w:t>
                </w:r>
                <w:r>
                  <w:rPr>
                    <w:rFonts w:ascii="Arial"/>
                    <w:i/>
                    <w:color w:val="252525"/>
                    <w:spacing w:val="-5"/>
                    <w:sz w:val="18"/>
                  </w:rPr>
                  <w:t xml:space="preserve">of </w:t>
                </w:r>
                <w:r>
                  <w:rPr>
                    <w:rFonts w:ascii="Arial"/>
                    <w:i/>
                    <w:color w:val="252525"/>
                    <w:sz w:val="18"/>
                  </w:rPr>
                  <w:t>4</w:t>
                </w:r>
              </w:p>
            </w:txbxContent>
          </v:textbox>
          <w10:wrap anchorx="page" anchory="page"/>
        </v:shape>
      </w:pict>
    </w:r>
    <w:r>
      <w:pict>
        <v:shape id="_x0000_s2051" type="#_x0000_t202" style="position:absolute;margin-left:32pt;margin-top:768.75pt;width:161.85pt;height:12pt;z-index:-5152;mso-position-horizontal-relative:page;mso-position-vertical-relative:page" filled="f" stroked="f">
          <v:textbox inset="0,0,0,0">
            <w:txbxContent>
              <w:p w:rsidR="00DE37F1" w:rsidRDefault="008E284A">
                <w:pPr>
                  <w:spacing w:line="223" w:lineRule="exact"/>
                  <w:ind w:left="20"/>
                  <w:rPr>
                    <w:sz w:val="20"/>
                  </w:rPr>
                </w:pPr>
                <w:r>
                  <w:rPr>
                    <w:color w:val="252525"/>
                    <w:sz w:val="20"/>
                  </w:rPr>
                  <w:t>© TM Forum 2018. All Rights Reserved.</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7F1" w:rsidRDefault="008E284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1.45pt;margin-top:768.1pt;width:44pt;height:12.65pt;z-index:-5128;mso-position-horizontal-relative:page;mso-position-vertical-relative:page" filled="f" stroked="f">
          <v:textbox inset="0,0,0,0">
            <w:txbxContent>
              <w:p w:rsidR="00DE37F1" w:rsidRDefault="008E284A">
                <w:pPr>
                  <w:spacing w:line="237" w:lineRule="exact"/>
                  <w:ind w:left="20"/>
                  <w:rPr>
                    <w:rFonts w:ascii="Arial"/>
                    <w:i/>
                    <w:sz w:val="18"/>
                  </w:rPr>
                </w:pPr>
                <w:r>
                  <w:rPr>
                    <w:color w:val="252525"/>
                    <w:sz w:val="20"/>
                  </w:rPr>
                  <w:t xml:space="preserve">Page </w:t>
                </w:r>
                <w:r>
                  <w:fldChar w:fldCharType="begin"/>
                </w:r>
                <w:r>
                  <w:rPr>
                    <w:rFonts w:ascii="Arial"/>
                    <w:i/>
                    <w:color w:val="252525"/>
                    <w:sz w:val="18"/>
                  </w:rPr>
                  <w:instrText xml:space="preserve"> PAGE </w:instrText>
                </w:r>
                <w:r>
                  <w:fldChar w:fldCharType="separate"/>
                </w:r>
                <w:r>
                  <w:t>1</w:t>
                </w:r>
                <w:r>
                  <w:fldChar w:fldCharType="end"/>
                </w:r>
                <w:r>
                  <w:rPr>
                    <w:rFonts w:ascii="Arial"/>
                    <w:i/>
                    <w:color w:val="252525"/>
                    <w:spacing w:val="-37"/>
                    <w:sz w:val="18"/>
                  </w:rPr>
                  <w:t xml:space="preserve"> </w:t>
                </w:r>
                <w:r>
                  <w:rPr>
                    <w:rFonts w:ascii="Arial"/>
                    <w:i/>
                    <w:color w:val="252525"/>
                    <w:spacing w:val="-5"/>
                    <w:sz w:val="18"/>
                  </w:rPr>
                  <w:t xml:space="preserve">of </w:t>
                </w:r>
                <w:r>
                  <w:rPr>
                    <w:rFonts w:ascii="Arial"/>
                    <w:i/>
                    <w:color w:val="252525"/>
                    <w:sz w:val="18"/>
                  </w:rPr>
                  <w:t>4</w:t>
                </w:r>
              </w:p>
            </w:txbxContent>
          </v:textbox>
          <w10:wrap anchorx="page" anchory="page"/>
        </v:shape>
      </w:pict>
    </w:r>
    <w:r>
      <w:pict>
        <v:shape id="_x0000_s2049" type="#_x0000_t202" style="position:absolute;margin-left:32pt;margin-top:768.75pt;width:161.85pt;height:12pt;z-index:-5104;mso-position-horizontal-relative:page;mso-position-vertical-relative:page" filled="f" stroked="f">
          <v:textbox inset="0,0,0,0">
            <w:txbxContent>
              <w:p w:rsidR="00DE37F1" w:rsidRDefault="008E284A">
                <w:pPr>
                  <w:spacing w:line="223" w:lineRule="exact"/>
                  <w:ind w:left="20"/>
                  <w:rPr>
                    <w:sz w:val="20"/>
                  </w:rPr>
                </w:pPr>
                <w:r>
                  <w:rPr>
                    <w:color w:val="252525"/>
                    <w:sz w:val="20"/>
                  </w:rPr>
                  <w:t>© TM Forum 2018. All Rights Reserved.</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84A" w:rsidRDefault="008E284A">
      <w:r>
        <w:separator/>
      </w:r>
    </w:p>
  </w:footnote>
  <w:footnote w:type="continuationSeparator" w:id="0">
    <w:p w:rsidR="008E284A" w:rsidRDefault="008E2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24A8"/>
    <w:multiLevelType w:val="hybridMultilevel"/>
    <w:tmpl w:val="FD36A234"/>
    <w:lvl w:ilvl="0" w:tplc="559A76B2">
      <w:start w:val="1"/>
      <w:numFmt w:val="decimal"/>
      <w:lvlText w:val="%1."/>
      <w:lvlJc w:val="left"/>
      <w:pPr>
        <w:ind w:left="1566" w:hanging="732"/>
        <w:jc w:val="left"/>
      </w:pPr>
      <w:rPr>
        <w:rFonts w:ascii="Calibri" w:eastAsia="Calibri" w:hAnsi="Calibri" w:cs="Calibri" w:hint="default"/>
        <w:b/>
        <w:bCs/>
        <w:w w:val="100"/>
        <w:sz w:val="22"/>
        <w:szCs w:val="22"/>
        <w:lang w:val="en-US" w:eastAsia="en-US" w:bidi="en-US"/>
      </w:rPr>
    </w:lvl>
    <w:lvl w:ilvl="1" w:tplc="F1E6C644">
      <w:numFmt w:val="bullet"/>
      <w:lvlText w:val="•"/>
      <w:lvlJc w:val="left"/>
      <w:pPr>
        <w:ind w:left="2536" w:hanging="732"/>
      </w:pPr>
      <w:rPr>
        <w:rFonts w:hint="default"/>
        <w:lang w:val="en-US" w:eastAsia="en-US" w:bidi="en-US"/>
      </w:rPr>
    </w:lvl>
    <w:lvl w:ilvl="2" w:tplc="9CBC74B0">
      <w:numFmt w:val="bullet"/>
      <w:lvlText w:val="•"/>
      <w:lvlJc w:val="left"/>
      <w:pPr>
        <w:ind w:left="3512" w:hanging="732"/>
      </w:pPr>
      <w:rPr>
        <w:rFonts w:hint="default"/>
        <w:lang w:val="en-US" w:eastAsia="en-US" w:bidi="en-US"/>
      </w:rPr>
    </w:lvl>
    <w:lvl w:ilvl="3" w:tplc="0C580964">
      <w:numFmt w:val="bullet"/>
      <w:lvlText w:val="•"/>
      <w:lvlJc w:val="left"/>
      <w:pPr>
        <w:ind w:left="4488" w:hanging="732"/>
      </w:pPr>
      <w:rPr>
        <w:rFonts w:hint="default"/>
        <w:lang w:val="en-US" w:eastAsia="en-US" w:bidi="en-US"/>
      </w:rPr>
    </w:lvl>
    <w:lvl w:ilvl="4" w:tplc="95F2CFF4">
      <w:numFmt w:val="bullet"/>
      <w:lvlText w:val="•"/>
      <w:lvlJc w:val="left"/>
      <w:pPr>
        <w:ind w:left="5464" w:hanging="732"/>
      </w:pPr>
      <w:rPr>
        <w:rFonts w:hint="default"/>
        <w:lang w:val="en-US" w:eastAsia="en-US" w:bidi="en-US"/>
      </w:rPr>
    </w:lvl>
    <w:lvl w:ilvl="5" w:tplc="54989C28">
      <w:numFmt w:val="bullet"/>
      <w:lvlText w:val="•"/>
      <w:lvlJc w:val="left"/>
      <w:pPr>
        <w:ind w:left="6440" w:hanging="732"/>
      </w:pPr>
      <w:rPr>
        <w:rFonts w:hint="default"/>
        <w:lang w:val="en-US" w:eastAsia="en-US" w:bidi="en-US"/>
      </w:rPr>
    </w:lvl>
    <w:lvl w:ilvl="6" w:tplc="133C4586">
      <w:numFmt w:val="bullet"/>
      <w:lvlText w:val="•"/>
      <w:lvlJc w:val="left"/>
      <w:pPr>
        <w:ind w:left="7416" w:hanging="732"/>
      </w:pPr>
      <w:rPr>
        <w:rFonts w:hint="default"/>
        <w:lang w:val="en-US" w:eastAsia="en-US" w:bidi="en-US"/>
      </w:rPr>
    </w:lvl>
    <w:lvl w:ilvl="7" w:tplc="791C8748">
      <w:numFmt w:val="bullet"/>
      <w:lvlText w:val="•"/>
      <w:lvlJc w:val="left"/>
      <w:pPr>
        <w:ind w:left="8392" w:hanging="732"/>
      </w:pPr>
      <w:rPr>
        <w:rFonts w:hint="default"/>
        <w:lang w:val="en-US" w:eastAsia="en-US" w:bidi="en-US"/>
      </w:rPr>
    </w:lvl>
    <w:lvl w:ilvl="8" w:tplc="5A62C070">
      <w:numFmt w:val="bullet"/>
      <w:lvlText w:val="•"/>
      <w:lvlJc w:val="left"/>
      <w:pPr>
        <w:ind w:left="9368" w:hanging="732"/>
      </w:pPr>
      <w:rPr>
        <w:rFonts w:hint="default"/>
        <w:lang w:val="en-US" w:eastAsia="en-US" w:bidi="en-US"/>
      </w:rPr>
    </w:lvl>
  </w:abstractNum>
  <w:abstractNum w:abstractNumId="1" w15:restartNumberingAfterBreak="0">
    <w:nsid w:val="0DD95EFC"/>
    <w:multiLevelType w:val="hybridMultilevel"/>
    <w:tmpl w:val="5CB4E6A2"/>
    <w:lvl w:ilvl="0" w:tplc="884428A2">
      <w:start w:val="1"/>
      <w:numFmt w:val="decimal"/>
      <w:lvlText w:val="%1."/>
      <w:lvlJc w:val="left"/>
      <w:pPr>
        <w:ind w:left="1566" w:hanging="732"/>
        <w:jc w:val="left"/>
      </w:pPr>
      <w:rPr>
        <w:rFonts w:ascii="Calibri" w:eastAsia="Calibri" w:hAnsi="Calibri" w:cs="Calibri" w:hint="default"/>
        <w:b/>
        <w:bCs/>
        <w:w w:val="100"/>
        <w:sz w:val="22"/>
        <w:szCs w:val="22"/>
        <w:lang w:val="en-US" w:eastAsia="en-US" w:bidi="en-US"/>
      </w:rPr>
    </w:lvl>
    <w:lvl w:ilvl="1" w:tplc="185A78C8">
      <w:numFmt w:val="bullet"/>
      <w:lvlText w:val="•"/>
      <w:lvlJc w:val="left"/>
      <w:pPr>
        <w:ind w:left="2536" w:hanging="732"/>
      </w:pPr>
      <w:rPr>
        <w:rFonts w:hint="default"/>
        <w:lang w:val="en-US" w:eastAsia="en-US" w:bidi="en-US"/>
      </w:rPr>
    </w:lvl>
    <w:lvl w:ilvl="2" w:tplc="025AB8CA">
      <w:numFmt w:val="bullet"/>
      <w:lvlText w:val="•"/>
      <w:lvlJc w:val="left"/>
      <w:pPr>
        <w:ind w:left="3512" w:hanging="732"/>
      </w:pPr>
      <w:rPr>
        <w:rFonts w:hint="default"/>
        <w:lang w:val="en-US" w:eastAsia="en-US" w:bidi="en-US"/>
      </w:rPr>
    </w:lvl>
    <w:lvl w:ilvl="3" w:tplc="9774D910">
      <w:numFmt w:val="bullet"/>
      <w:lvlText w:val="•"/>
      <w:lvlJc w:val="left"/>
      <w:pPr>
        <w:ind w:left="4488" w:hanging="732"/>
      </w:pPr>
      <w:rPr>
        <w:rFonts w:hint="default"/>
        <w:lang w:val="en-US" w:eastAsia="en-US" w:bidi="en-US"/>
      </w:rPr>
    </w:lvl>
    <w:lvl w:ilvl="4" w:tplc="FD84416C">
      <w:numFmt w:val="bullet"/>
      <w:lvlText w:val="•"/>
      <w:lvlJc w:val="left"/>
      <w:pPr>
        <w:ind w:left="5464" w:hanging="732"/>
      </w:pPr>
      <w:rPr>
        <w:rFonts w:hint="default"/>
        <w:lang w:val="en-US" w:eastAsia="en-US" w:bidi="en-US"/>
      </w:rPr>
    </w:lvl>
    <w:lvl w:ilvl="5" w:tplc="2FCCEE96">
      <w:numFmt w:val="bullet"/>
      <w:lvlText w:val="•"/>
      <w:lvlJc w:val="left"/>
      <w:pPr>
        <w:ind w:left="6440" w:hanging="732"/>
      </w:pPr>
      <w:rPr>
        <w:rFonts w:hint="default"/>
        <w:lang w:val="en-US" w:eastAsia="en-US" w:bidi="en-US"/>
      </w:rPr>
    </w:lvl>
    <w:lvl w:ilvl="6" w:tplc="8EF01D36">
      <w:numFmt w:val="bullet"/>
      <w:lvlText w:val="•"/>
      <w:lvlJc w:val="left"/>
      <w:pPr>
        <w:ind w:left="7416" w:hanging="732"/>
      </w:pPr>
      <w:rPr>
        <w:rFonts w:hint="default"/>
        <w:lang w:val="en-US" w:eastAsia="en-US" w:bidi="en-US"/>
      </w:rPr>
    </w:lvl>
    <w:lvl w:ilvl="7" w:tplc="0C2E8678">
      <w:numFmt w:val="bullet"/>
      <w:lvlText w:val="•"/>
      <w:lvlJc w:val="left"/>
      <w:pPr>
        <w:ind w:left="8392" w:hanging="732"/>
      </w:pPr>
      <w:rPr>
        <w:rFonts w:hint="default"/>
        <w:lang w:val="en-US" w:eastAsia="en-US" w:bidi="en-US"/>
      </w:rPr>
    </w:lvl>
    <w:lvl w:ilvl="8" w:tplc="24B6D676">
      <w:numFmt w:val="bullet"/>
      <w:lvlText w:val="•"/>
      <w:lvlJc w:val="left"/>
      <w:pPr>
        <w:ind w:left="9368" w:hanging="732"/>
      </w:pPr>
      <w:rPr>
        <w:rFonts w:hint="default"/>
        <w:lang w:val="en-US" w:eastAsia="en-US" w:bidi="en-US"/>
      </w:rPr>
    </w:lvl>
  </w:abstractNum>
  <w:abstractNum w:abstractNumId="2" w15:restartNumberingAfterBreak="0">
    <w:nsid w:val="33B2786B"/>
    <w:multiLevelType w:val="hybridMultilevel"/>
    <w:tmpl w:val="F8D0D872"/>
    <w:lvl w:ilvl="0" w:tplc="402C5D62">
      <w:numFmt w:val="bullet"/>
      <w:lvlText w:val="•"/>
      <w:lvlJc w:val="left"/>
      <w:pPr>
        <w:ind w:left="1566" w:hanging="732"/>
      </w:pPr>
      <w:rPr>
        <w:rFonts w:ascii="Calibri" w:eastAsia="Calibri" w:hAnsi="Calibri" w:cs="Calibri" w:hint="default"/>
        <w:w w:val="100"/>
        <w:sz w:val="22"/>
        <w:szCs w:val="22"/>
        <w:lang w:val="en-US" w:eastAsia="en-US" w:bidi="en-US"/>
      </w:rPr>
    </w:lvl>
    <w:lvl w:ilvl="1" w:tplc="161ED44A">
      <w:numFmt w:val="bullet"/>
      <w:lvlText w:val="•"/>
      <w:lvlJc w:val="left"/>
      <w:pPr>
        <w:ind w:left="2536" w:hanging="732"/>
      </w:pPr>
      <w:rPr>
        <w:rFonts w:hint="default"/>
        <w:lang w:val="en-US" w:eastAsia="en-US" w:bidi="en-US"/>
      </w:rPr>
    </w:lvl>
    <w:lvl w:ilvl="2" w:tplc="C3343DD2">
      <w:numFmt w:val="bullet"/>
      <w:lvlText w:val="•"/>
      <w:lvlJc w:val="left"/>
      <w:pPr>
        <w:ind w:left="3512" w:hanging="732"/>
      </w:pPr>
      <w:rPr>
        <w:rFonts w:hint="default"/>
        <w:lang w:val="en-US" w:eastAsia="en-US" w:bidi="en-US"/>
      </w:rPr>
    </w:lvl>
    <w:lvl w:ilvl="3" w:tplc="08EC98A6">
      <w:numFmt w:val="bullet"/>
      <w:lvlText w:val="•"/>
      <w:lvlJc w:val="left"/>
      <w:pPr>
        <w:ind w:left="4488" w:hanging="732"/>
      </w:pPr>
      <w:rPr>
        <w:rFonts w:hint="default"/>
        <w:lang w:val="en-US" w:eastAsia="en-US" w:bidi="en-US"/>
      </w:rPr>
    </w:lvl>
    <w:lvl w:ilvl="4" w:tplc="B08C7BD2">
      <w:numFmt w:val="bullet"/>
      <w:lvlText w:val="•"/>
      <w:lvlJc w:val="left"/>
      <w:pPr>
        <w:ind w:left="5464" w:hanging="732"/>
      </w:pPr>
      <w:rPr>
        <w:rFonts w:hint="default"/>
        <w:lang w:val="en-US" w:eastAsia="en-US" w:bidi="en-US"/>
      </w:rPr>
    </w:lvl>
    <w:lvl w:ilvl="5" w:tplc="83086E84">
      <w:numFmt w:val="bullet"/>
      <w:lvlText w:val="•"/>
      <w:lvlJc w:val="left"/>
      <w:pPr>
        <w:ind w:left="6440" w:hanging="732"/>
      </w:pPr>
      <w:rPr>
        <w:rFonts w:hint="default"/>
        <w:lang w:val="en-US" w:eastAsia="en-US" w:bidi="en-US"/>
      </w:rPr>
    </w:lvl>
    <w:lvl w:ilvl="6" w:tplc="3998DFF2">
      <w:numFmt w:val="bullet"/>
      <w:lvlText w:val="•"/>
      <w:lvlJc w:val="left"/>
      <w:pPr>
        <w:ind w:left="7416" w:hanging="732"/>
      </w:pPr>
      <w:rPr>
        <w:rFonts w:hint="default"/>
        <w:lang w:val="en-US" w:eastAsia="en-US" w:bidi="en-US"/>
      </w:rPr>
    </w:lvl>
    <w:lvl w:ilvl="7" w:tplc="C04EE2C4">
      <w:numFmt w:val="bullet"/>
      <w:lvlText w:val="•"/>
      <w:lvlJc w:val="left"/>
      <w:pPr>
        <w:ind w:left="8392" w:hanging="732"/>
      </w:pPr>
      <w:rPr>
        <w:rFonts w:hint="default"/>
        <w:lang w:val="en-US" w:eastAsia="en-US" w:bidi="en-US"/>
      </w:rPr>
    </w:lvl>
    <w:lvl w:ilvl="8" w:tplc="1972B414">
      <w:numFmt w:val="bullet"/>
      <w:lvlText w:val="•"/>
      <w:lvlJc w:val="left"/>
      <w:pPr>
        <w:ind w:left="9368" w:hanging="732"/>
      </w:pPr>
      <w:rPr>
        <w:rFonts w:hint="default"/>
        <w:lang w:val="en-US" w:eastAsia="en-US" w:bidi="en-US"/>
      </w:rPr>
    </w:lvl>
  </w:abstractNum>
  <w:abstractNum w:abstractNumId="3" w15:restartNumberingAfterBreak="0">
    <w:nsid w:val="72835353"/>
    <w:multiLevelType w:val="hybridMultilevel"/>
    <w:tmpl w:val="BF9A055C"/>
    <w:lvl w:ilvl="0" w:tplc="106A2D9E">
      <w:numFmt w:val="bullet"/>
      <w:lvlText w:val="-"/>
      <w:lvlJc w:val="left"/>
      <w:pPr>
        <w:ind w:left="834" w:hanging="732"/>
      </w:pPr>
      <w:rPr>
        <w:rFonts w:ascii="Calibri" w:eastAsia="Calibri" w:hAnsi="Calibri" w:cs="Calibri" w:hint="default"/>
        <w:w w:val="100"/>
        <w:sz w:val="22"/>
        <w:szCs w:val="22"/>
        <w:lang w:val="en-US" w:eastAsia="en-US" w:bidi="en-US"/>
      </w:rPr>
    </w:lvl>
    <w:lvl w:ilvl="1" w:tplc="58F29628">
      <w:numFmt w:val="bullet"/>
      <w:lvlText w:val="•"/>
      <w:lvlJc w:val="left"/>
      <w:pPr>
        <w:ind w:left="1888" w:hanging="732"/>
      </w:pPr>
      <w:rPr>
        <w:rFonts w:hint="default"/>
        <w:lang w:val="en-US" w:eastAsia="en-US" w:bidi="en-US"/>
      </w:rPr>
    </w:lvl>
    <w:lvl w:ilvl="2" w:tplc="FCC6DB96">
      <w:numFmt w:val="bullet"/>
      <w:lvlText w:val="•"/>
      <w:lvlJc w:val="left"/>
      <w:pPr>
        <w:ind w:left="2936" w:hanging="732"/>
      </w:pPr>
      <w:rPr>
        <w:rFonts w:hint="default"/>
        <w:lang w:val="en-US" w:eastAsia="en-US" w:bidi="en-US"/>
      </w:rPr>
    </w:lvl>
    <w:lvl w:ilvl="3" w:tplc="A0AA3CFA">
      <w:numFmt w:val="bullet"/>
      <w:lvlText w:val="•"/>
      <w:lvlJc w:val="left"/>
      <w:pPr>
        <w:ind w:left="3984" w:hanging="732"/>
      </w:pPr>
      <w:rPr>
        <w:rFonts w:hint="default"/>
        <w:lang w:val="en-US" w:eastAsia="en-US" w:bidi="en-US"/>
      </w:rPr>
    </w:lvl>
    <w:lvl w:ilvl="4" w:tplc="D26ADF1E">
      <w:numFmt w:val="bullet"/>
      <w:lvlText w:val="•"/>
      <w:lvlJc w:val="left"/>
      <w:pPr>
        <w:ind w:left="5032" w:hanging="732"/>
      </w:pPr>
      <w:rPr>
        <w:rFonts w:hint="default"/>
        <w:lang w:val="en-US" w:eastAsia="en-US" w:bidi="en-US"/>
      </w:rPr>
    </w:lvl>
    <w:lvl w:ilvl="5" w:tplc="110AEFF6">
      <w:numFmt w:val="bullet"/>
      <w:lvlText w:val="•"/>
      <w:lvlJc w:val="left"/>
      <w:pPr>
        <w:ind w:left="6080" w:hanging="732"/>
      </w:pPr>
      <w:rPr>
        <w:rFonts w:hint="default"/>
        <w:lang w:val="en-US" w:eastAsia="en-US" w:bidi="en-US"/>
      </w:rPr>
    </w:lvl>
    <w:lvl w:ilvl="6" w:tplc="5B342CE6">
      <w:numFmt w:val="bullet"/>
      <w:lvlText w:val="•"/>
      <w:lvlJc w:val="left"/>
      <w:pPr>
        <w:ind w:left="7128" w:hanging="732"/>
      </w:pPr>
      <w:rPr>
        <w:rFonts w:hint="default"/>
        <w:lang w:val="en-US" w:eastAsia="en-US" w:bidi="en-US"/>
      </w:rPr>
    </w:lvl>
    <w:lvl w:ilvl="7" w:tplc="BE123920">
      <w:numFmt w:val="bullet"/>
      <w:lvlText w:val="•"/>
      <w:lvlJc w:val="left"/>
      <w:pPr>
        <w:ind w:left="8176" w:hanging="732"/>
      </w:pPr>
      <w:rPr>
        <w:rFonts w:hint="default"/>
        <w:lang w:val="en-US" w:eastAsia="en-US" w:bidi="en-US"/>
      </w:rPr>
    </w:lvl>
    <w:lvl w:ilvl="8" w:tplc="DFE05464">
      <w:numFmt w:val="bullet"/>
      <w:lvlText w:val="•"/>
      <w:lvlJc w:val="left"/>
      <w:pPr>
        <w:ind w:left="9224" w:hanging="732"/>
      </w:pPr>
      <w:rPr>
        <w:rFonts w:hint="default"/>
        <w:lang w:val="en-US" w:eastAsia="en-US" w:bidi="en-U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E37F1"/>
    <w:rsid w:val="00477CA5"/>
    <w:rsid w:val="008E284A"/>
    <w:rsid w:val="00CF440A"/>
    <w:rsid w:val="00DB1924"/>
    <w:rsid w:val="00DE37F1"/>
    <w:rsid w:val="00DF2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48CDAA7"/>
  <w15:docId w15:val="{12239238-EC7F-447B-9CDB-B25E8EA3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566" w:hanging="73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66" w:hanging="7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4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40A"/>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Iberia Medrano</dc:creator>
  <cp:lastModifiedBy>Alfred Anaya-Dubernard</cp:lastModifiedBy>
  <cp:revision>5</cp:revision>
  <dcterms:created xsi:type="dcterms:W3CDTF">2019-08-02T15:25:00Z</dcterms:created>
  <dcterms:modified xsi:type="dcterms:W3CDTF">2019-08-02T15:33:00Z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2018-05-09T00:00:00Z</vt:filetime>
  </property>
  <property fmtid="{D5CDD505-2E9C-101B-9397-08002B2CF9AE}" pid="3" name="Creator">
    <vt:lpwstr>Microsoft® Word 2016</vt:lpwstr>
  </property>
  <property fmtid="{D5CDD505-2E9C-101B-9397-08002B2CF9AE}" pid="4" name="LastSaved">
    <vt:filetime>2019-08-01T00:00:00Z</vt:filetime>
  </property>
</Properties>
</file>