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549440EF" w:rsidR="00BA3364" w:rsidRDefault="00BA3364" w:rsidP="008C536F">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sidR="005B7713" w:rsidRPr="005B7713">
            <w:rPr>
              <w:rFonts w:cs="Calibri"/>
              <w:b/>
              <w:i/>
              <w:color w:val="404040"/>
              <w:sz w:val="40"/>
              <w:szCs w:val="40"/>
              <w:lang w:val="en-GB"/>
            </w:rPr>
            <w:t>Comviva Technologies Limited</w:t>
          </w:r>
        </w:p>
        <w:p w14:paraId="568BFB72" w14:textId="77777777" w:rsidR="00F37110" w:rsidRPr="00BA3364" w:rsidRDefault="00F37110" w:rsidP="008C536F">
          <w:pPr>
            <w:keepNext/>
            <w:keepLines/>
            <w:spacing w:line="340" w:lineRule="atLeast"/>
            <w:ind w:left="709"/>
            <w:rPr>
              <w:rFonts w:cs="Calibri"/>
              <w:i/>
              <w:color w:val="404040"/>
              <w:sz w:val="40"/>
              <w:szCs w:val="40"/>
              <w:lang w:val="en-GB"/>
            </w:rPr>
          </w:pPr>
        </w:p>
        <w:p w14:paraId="67FEC130" w14:textId="1B21CE58" w:rsidR="001F05C0" w:rsidRDefault="00BA3364" w:rsidP="008C536F">
          <w:pPr>
            <w:keepNext/>
            <w:keepLines/>
            <w:spacing w:line="340" w:lineRule="atLeast"/>
            <w:ind w:left="709"/>
            <w:rPr>
              <w:b/>
              <w:i/>
              <w:color w:val="404040"/>
              <w:sz w:val="40"/>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B30C36">
            <w:rPr>
              <w:b/>
              <w:i/>
              <w:color w:val="404040"/>
              <w:sz w:val="40"/>
            </w:rPr>
            <w:t>TMF640</w:t>
          </w:r>
          <w:r w:rsidR="000D6112" w:rsidRPr="000D6112">
            <w:rPr>
              <w:b/>
              <w:i/>
              <w:color w:val="404040"/>
              <w:sz w:val="40"/>
            </w:rPr>
            <w:t xml:space="preserve"> - </w:t>
          </w:r>
          <w:r w:rsidR="001F05C0" w:rsidRPr="001F05C0">
            <w:rPr>
              <w:b/>
              <w:i/>
              <w:color w:val="404040"/>
              <w:sz w:val="40"/>
            </w:rPr>
            <w:t xml:space="preserve">Service Activation and Configuration </w:t>
          </w:r>
          <w:r w:rsidR="001F05C0">
            <w:rPr>
              <w:b/>
              <w:i/>
              <w:color w:val="404040"/>
              <w:sz w:val="40"/>
            </w:rPr>
            <w:t>API</w:t>
          </w:r>
        </w:p>
        <w:p w14:paraId="7AF5BC23" w14:textId="77777777" w:rsidR="00F37110" w:rsidRDefault="00F37110" w:rsidP="008C536F">
          <w:pPr>
            <w:keepNext/>
            <w:keepLines/>
            <w:spacing w:line="340" w:lineRule="atLeast"/>
            <w:ind w:left="709"/>
            <w:rPr>
              <w:b/>
              <w:i/>
              <w:color w:val="404040"/>
              <w:sz w:val="40"/>
            </w:rPr>
          </w:pPr>
        </w:p>
        <w:p w14:paraId="3F2E29AF" w14:textId="33463CBC"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9C5DED">
            <w:rPr>
              <w:b/>
              <w:i/>
              <w:color w:val="404040"/>
              <w:sz w:val="40"/>
            </w:rPr>
            <w:t>R19.0</w:t>
          </w:r>
          <w:r w:rsidR="009C5DED" w:rsidRPr="00951F30">
            <w:rPr>
              <w:b/>
              <w:i/>
              <w:color w:val="404040"/>
              <w:sz w:val="40"/>
            </w:rPr>
            <w:t xml:space="preserve"> </w:t>
          </w:r>
          <w:r w:rsidR="009C5DED">
            <w:rPr>
              <w:b/>
              <w:i/>
              <w:color w:val="404040"/>
              <w:sz w:val="40"/>
            </w:rPr>
            <w:t>/v4</w:t>
          </w:r>
          <w:r w:rsidR="009C5DED" w:rsidRPr="00951F30">
            <w:rPr>
              <w:b/>
              <w:i/>
              <w:color w:val="404040"/>
              <w:sz w:val="40"/>
            </w:rPr>
            <w:t>.0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403F976E" w:rsidR="00EE1557" w:rsidRDefault="00EE1557" w:rsidP="008C536F">
          <w:pPr>
            <w:tabs>
              <w:tab w:val="right" w:pos="9360"/>
            </w:tabs>
            <w:ind w:left="709"/>
            <w:rPr>
              <w:rFonts w:cs="Calibri"/>
              <w:b/>
              <w:color w:val="404040"/>
              <w:sz w:val="36"/>
            </w:rPr>
          </w:pPr>
        </w:p>
        <w:p w14:paraId="62A13598" w14:textId="5D91F1DE" w:rsidR="00F37110" w:rsidRDefault="00F37110" w:rsidP="008C536F">
          <w:pPr>
            <w:tabs>
              <w:tab w:val="right" w:pos="9360"/>
            </w:tabs>
            <w:ind w:left="709"/>
            <w:rPr>
              <w:rFonts w:cs="Calibri"/>
              <w:b/>
              <w:color w:val="404040"/>
              <w:sz w:val="36"/>
            </w:rPr>
          </w:pPr>
        </w:p>
        <w:p w14:paraId="42F8AFD5" w14:textId="77777777" w:rsidR="00F37110" w:rsidRPr="0091413C" w:rsidRDefault="00F37110"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47A4E837"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EC46DA">
            <w:rPr>
              <w:rFonts w:cs="Calibri"/>
              <w:b/>
              <w:color w:val="404040"/>
              <w:sz w:val="36"/>
            </w:rPr>
            <w:t>15</w:t>
          </w:r>
          <w:r w:rsidR="00FE6562">
            <w:rPr>
              <w:rFonts w:cs="Calibri"/>
              <w:b/>
              <w:color w:val="404040"/>
              <w:sz w:val="36"/>
            </w:rPr>
            <w:t>-07</w:t>
          </w:r>
          <w:r w:rsidR="003063D6">
            <w:rPr>
              <w:rFonts w:cs="Calibri"/>
              <w:b/>
              <w:color w:val="404040"/>
              <w:sz w:val="36"/>
            </w:rPr>
            <w:t>-2020</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w:t>
      </w:r>
      <w:proofErr w:type="spellStart"/>
      <w:r w:rsidRPr="00CF414E">
        <w:rPr>
          <w:sz w:val="28"/>
        </w:rPr>
        <w:t>Comviva’s</w:t>
      </w:r>
      <w:proofErr w:type="spellEnd"/>
      <w:r w:rsidRPr="00CF414E">
        <w:rPr>
          <w:sz w:val="28"/>
        </w:rPr>
        <w:t xml:space="preserve"> BSS suite enables operators to appropriately prioritize subscriber demands and meet subscriber expectations. Via its centralized repository and flexible workflows, </w:t>
      </w:r>
      <w:proofErr w:type="spellStart"/>
      <w:r w:rsidRPr="00CF414E">
        <w:rPr>
          <w:sz w:val="28"/>
        </w:rPr>
        <w:t>Comviva’s</w:t>
      </w:r>
      <w:proofErr w:type="spellEnd"/>
      <w:r w:rsidRPr="00CF414E">
        <w:rPr>
          <w:sz w:val="28"/>
        </w:rPr>
        <w:t xml:space="preserve">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6E437276" w:rsid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can be rapidly deployed at and offers an excellent range of features.  Some of the basic dimensions that have been taken into account while designing </w:t>
      </w:r>
      <w:proofErr w:type="spellStart"/>
      <w:r w:rsidRPr="00CF414E">
        <w:rPr>
          <w:sz w:val="28"/>
        </w:rPr>
        <w:t>Comviva’s</w:t>
      </w:r>
      <w:proofErr w:type="spellEnd"/>
      <w:r w:rsidRPr="00CF414E">
        <w:rPr>
          <w:sz w:val="28"/>
        </w:rPr>
        <w:t xml:space="preserve"> BSS suite include:</w:t>
      </w:r>
    </w:p>
    <w:p w14:paraId="2C8AFFE5" w14:textId="77777777" w:rsidR="00F37110" w:rsidRPr="00CF414E" w:rsidRDefault="00F37110"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proofErr w:type="spellStart"/>
      <w:r w:rsidRPr="00CF414E">
        <w:rPr>
          <w:sz w:val="28"/>
        </w:rPr>
        <w:t>Comviva’s</w:t>
      </w:r>
      <w:proofErr w:type="spellEnd"/>
      <w:r w:rsidRPr="00CF414E">
        <w:rPr>
          <w:sz w:val="28"/>
        </w:rPr>
        <w:t xml:space="preserve"> BSS suite solution is a leading edge, Provisioning &amp; Customer Care solution that integrates critical business processes and workflows of prepaid operations. </w:t>
      </w:r>
      <w:proofErr w:type="spellStart"/>
      <w:r w:rsidRPr="00CF414E">
        <w:rPr>
          <w:sz w:val="28"/>
        </w:rPr>
        <w:t>Comviva’s</w:t>
      </w:r>
      <w:proofErr w:type="spellEnd"/>
      <w:r w:rsidRPr="00CF414E">
        <w:rPr>
          <w:sz w:val="28"/>
        </w:rPr>
        <w:t xml:space="preserve">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67679CC" w14:textId="77777777" w:rsidR="00282704" w:rsidRPr="008C536F" w:rsidRDefault="00282704" w:rsidP="008C536F">
      <w:pPr>
        <w:ind w:left="709"/>
        <w:rPr>
          <w:sz w:val="3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719BC5E8" w14:textId="00BCB742" w:rsidR="00FE6562" w:rsidRDefault="00846440" w:rsidP="00265554">
      <w:pPr>
        <w:tabs>
          <w:tab w:val="left" w:pos="10530"/>
        </w:tabs>
        <w:ind w:left="709" w:right="486"/>
        <w:jc w:val="both"/>
        <w:rPr>
          <w:sz w:val="28"/>
        </w:rPr>
      </w:pPr>
      <w:r w:rsidRPr="00846440">
        <w:rPr>
          <w:sz w:val="28"/>
        </w:rPr>
        <w:t xml:space="preserve">Service is a base class for defining the Service hierarchy. All Services are characterized as either being possibly visible and usable by a Customer or not. This gives rise to the two subclasses of Service: CustomerFacingService and </w:t>
      </w:r>
      <w:proofErr w:type="spellStart"/>
      <w:r w:rsidRPr="00846440">
        <w:rPr>
          <w:sz w:val="28"/>
        </w:rPr>
        <w:t>ResourceFacingService</w:t>
      </w:r>
      <w:proofErr w:type="spellEnd"/>
      <w:r>
        <w:rPr>
          <w:sz w:val="28"/>
        </w:rPr>
        <w:t>.</w:t>
      </w:r>
    </w:p>
    <w:p w14:paraId="3D6C59C5" w14:textId="77777777" w:rsidR="00846440" w:rsidRDefault="00846440" w:rsidP="00265554">
      <w:pPr>
        <w:tabs>
          <w:tab w:val="left" w:pos="10530"/>
        </w:tabs>
        <w:ind w:left="709" w:right="486"/>
        <w:jc w:val="both"/>
        <w:rPr>
          <w:sz w:val="28"/>
        </w:rPr>
      </w:pPr>
    </w:p>
    <w:p w14:paraId="44F8097D" w14:textId="12082D84" w:rsidR="00FE6562" w:rsidRPr="00FE6562" w:rsidRDefault="00FE6562" w:rsidP="00FE6562">
      <w:pPr>
        <w:pStyle w:val="ListParagraph"/>
        <w:numPr>
          <w:ilvl w:val="2"/>
          <w:numId w:val="5"/>
        </w:numPr>
        <w:tabs>
          <w:tab w:val="left" w:pos="10530"/>
        </w:tabs>
        <w:ind w:right="486"/>
        <w:jc w:val="both"/>
        <w:rPr>
          <w:b/>
          <w:sz w:val="28"/>
        </w:rPr>
      </w:pPr>
      <w:r w:rsidRPr="00FE6562">
        <w:rPr>
          <w:b/>
          <w:sz w:val="28"/>
        </w:rPr>
        <w:t xml:space="preserve">Service </w:t>
      </w:r>
      <w:r w:rsidR="00846440">
        <w:rPr>
          <w:b/>
          <w:sz w:val="28"/>
        </w:rPr>
        <w:t>Operations</w:t>
      </w:r>
    </w:p>
    <w:p w14:paraId="5426320B" w14:textId="3B3AB261"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FE6562">
        <w:rPr>
          <w:sz w:val="28"/>
        </w:rPr>
        <w:t>Service</w:t>
      </w:r>
      <w:r w:rsidRPr="00115682">
        <w:rPr>
          <w:sz w:val="28"/>
        </w:rPr>
        <w:t xml:space="preserve"> </w:t>
      </w:r>
    </w:p>
    <w:p w14:paraId="530078FA" w14:textId="55D9F4CD"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FE6562">
        <w:rPr>
          <w:sz w:val="28"/>
        </w:rPr>
        <w:t>service</w:t>
      </w:r>
      <w:r w:rsidRPr="00115682">
        <w:rPr>
          <w:sz w:val="28"/>
        </w:rPr>
        <w:t xml:space="preserve"> entities</w:t>
      </w:r>
    </w:p>
    <w:p w14:paraId="585AC02A" w14:textId="7CEE853E"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FE6562">
        <w:rPr>
          <w:sz w:val="28"/>
        </w:rPr>
        <w:t>Service</w:t>
      </w:r>
      <w:r w:rsidR="00FE6562" w:rsidRPr="00115682">
        <w:rPr>
          <w:sz w:val="28"/>
        </w:rPr>
        <w:t xml:space="preserve"> </w:t>
      </w:r>
      <w:r w:rsidR="00FE6562">
        <w:rPr>
          <w:sz w:val="28"/>
        </w:rPr>
        <w:t>Order</w:t>
      </w:r>
    </w:p>
    <w:p w14:paraId="2826A69D" w14:textId="259133D7"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FE6562">
        <w:rPr>
          <w:sz w:val="28"/>
        </w:rPr>
        <w:t>service</w:t>
      </w:r>
      <w:r w:rsidR="00FE6562" w:rsidRPr="00115682">
        <w:rPr>
          <w:sz w:val="28"/>
        </w:rPr>
        <w:t xml:space="preserve"> </w:t>
      </w:r>
      <w:r w:rsidRPr="00115682">
        <w:rPr>
          <w:sz w:val="28"/>
        </w:rPr>
        <w:t>entity</w:t>
      </w:r>
    </w:p>
    <w:p w14:paraId="2C8AE1E0" w14:textId="2C029CE7" w:rsidR="00115682" w:rsidRDefault="00115682" w:rsidP="00115682">
      <w:pPr>
        <w:pStyle w:val="ListParagraph"/>
        <w:numPr>
          <w:ilvl w:val="0"/>
          <w:numId w:val="4"/>
        </w:numPr>
        <w:tabs>
          <w:tab w:val="left" w:pos="10530"/>
        </w:tabs>
        <w:ind w:right="486"/>
        <w:jc w:val="both"/>
        <w:rPr>
          <w:sz w:val="28"/>
        </w:rPr>
      </w:pPr>
      <w:r w:rsidRPr="00115682">
        <w:rPr>
          <w:sz w:val="28"/>
        </w:rPr>
        <w:t xml:space="preserve">Create </w:t>
      </w:r>
      <w:r w:rsidR="00FE6562">
        <w:rPr>
          <w:sz w:val="28"/>
        </w:rPr>
        <w:t>Service</w:t>
      </w:r>
      <w:r w:rsidR="00FE6562" w:rsidRPr="00115682">
        <w:rPr>
          <w:sz w:val="28"/>
        </w:rPr>
        <w:t xml:space="preserve"> </w:t>
      </w:r>
      <w:r w:rsidR="00FE6562">
        <w:rPr>
          <w:sz w:val="28"/>
        </w:rPr>
        <w:t>Order</w:t>
      </w:r>
    </w:p>
    <w:p w14:paraId="62D5EB0E" w14:textId="4E7E9100"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creates a </w:t>
      </w:r>
      <w:r w:rsidR="00FE6562">
        <w:rPr>
          <w:sz w:val="28"/>
        </w:rPr>
        <w:t>service</w:t>
      </w:r>
      <w:r w:rsidR="00FE6562" w:rsidRPr="00115682">
        <w:rPr>
          <w:sz w:val="28"/>
        </w:rPr>
        <w:t xml:space="preserve"> </w:t>
      </w:r>
      <w:r w:rsidRPr="00115682">
        <w:rPr>
          <w:sz w:val="28"/>
        </w:rPr>
        <w:t>entity</w:t>
      </w:r>
    </w:p>
    <w:p w14:paraId="67082750" w14:textId="6322DF7D" w:rsidR="00115682" w:rsidRDefault="00115682" w:rsidP="00115682">
      <w:pPr>
        <w:pStyle w:val="ListParagraph"/>
        <w:numPr>
          <w:ilvl w:val="0"/>
          <w:numId w:val="4"/>
        </w:numPr>
        <w:tabs>
          <w:tab w:val="left" w:pos="10530"/>
        </w:tabs>
        <w:ind w:right="486"/>
        <w:jc w:val="both"/>
        <w:rPr>
          <w:sz w:val="28"/>
        </w:rPr>
      </w:pPr>
      <w:r w:rsidRPr="00115682">
        <w:rPr>
          <w:sz w:val="28"/>
        </w:rPr>
        <w:t xml:space="preserve">Patch </w:t>
      </w:r>
      <w:r w:rsidR="00FE6562">
        <w:rPr>
          <w:sz w:val="28"/>
        </w:rPr>
        <w:t>Service</w:t>
      </w:r>
      <w:r w:rsidR="00FE6562" w:rsidRPr="00115682">
        <w:rPr>
          <w:sz w:val="28"/>
        </w:rPr>
        <w:t xml:space="preserve"> </w:t>
      </w:r>
      <w:r w:rsidR="00FE6562">
        <w:rPr>
          <w:sz w:val="28"/>
        </w:rPr>
        <w:t>Order</w:t>
      </w:r>
    </w:p>
    <w:p w14:paraId="4845C0A2" w14:textId="688D9B4B"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Operation allows partial updates of a </w:t>
      </w:r>
      <w:r w:rsidR="00FE6562">
        <w:rPr>
          <w:sz w:val="28"/>
        </w:rPr>
        <w:t>service</w:t>
      </w:r>
      <w:r w:rsidR="00FE6562" w:rsidRPr="00115682">
        <w:rPr>
          <w:sz w:val="28"/>
        </w:rPr>
        <w:t xml:space="preserve"> </w:t>
      </w:r>
      <w:r w:rsidRPr="00115682">
        <w:rPr>
          <w:sz w:val="28"/>
        </w:rPr>
        <w:t>entity</w:t>
      </w:r>
    </w:p>
    <w:p w14:paraId="4EACB309" w14:textId="1CB45549" w:rsidR="00115682" w:rsidRDefault="00115682" w:rsidP="00115682">
      <w:pPr>
        <w:pStyle w:val="ListParagraph"/>
        <w:numPr>
          <w:ilvl w:val="0"/>
          <w:numId w:val="4"/>
        </w:numPr>
        <w:tabs>
          <w:tab w:val="left" w:pos="10530"/>
        </w:tabs>
        <w:ind w:right="486"/>
        <w:jc w:val="both"/>
        <w:rPr>
          <w:sz w:val="28"/>
        </w:rPr>
      </w:pPr>
      <w:r w:rsidRPr="00115682">
        <w:rPr>
          <w:sz w:val="28"/>
        </w:rPr>
        <w:t xml:space="preserve">Delete </w:t>
      </w:r>
      <w:r w:rsidR="00FE6562">
        <w:rPr>
          <w:sz w:val="28"/>
        </w:rPr>
        <w:t>Service</w:t>
      </w:r>
      <w:r w:rsidR="00FE6562" w:rsidRPr="00115682">
        <w:rPr>
          <w:sz w:val="28"/>
        </w:rPr>
        <w:t xml:space="preserve"> </w:t>
      </w:r>
      <w:r w:rsidR="00FE6562">
        <w:rPr>
          <w:sz w:val="28"/>
        </w:rPr>
        <w:t>Order</w:t>
      </w:r>
    </w:p>
    <w:p w14:paraId="03BE84FB" w14:textId="2DDF5D28"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Operation deletes a </w:t>
      </w:r>
      <w:r w:rsidR="00FE6562">
        <w:rPr>
          <w:sz w:val="28"/>
        </w:rPr>
        <w:t>service</w:t>
      </w:r>
      <w:r w:rsidR="00FE6562" w:rsidRPr="00115682">
        <w:rPr>
          <w:sz w:val="28"/>
        </w:rPr>
        <w:t xml:space="preserve"> </w:t>
      </w:r>
      <w:r w:rsidRPr="00115682">
        <w:rPr>
          <w:sz w:val="28"/>
        </w:rPr>
        <w:t>entity.</w:t>
      </w:r>
    </w:p>
    <w:p w14:paraId="1305EE9F" w14:textId="42C8BF61" w:rsidR="00DB2CC3" w:rsidRPr="00ED2D0A" w:rsidRDefault="00DB2CC3" w:rsidP="00ED2D0A">
      <w:pPr>
        <w:tabs>
          <w:tab w:val="left" w:pos="10530"/>
        </w:tabs>
        <w:ind w:left="709" w:right="486"/>
        <w:jc w:val="both"/>
        <w:rPr>
          <w:sz w:val="28"/>
        </w:rPr>
      </w:pPr>
    </w:p>
    <w:p w14:paraId="4587BD23" w14:textId="41AF1AD0" w:rsidR="00FE6562" w:rsidRPr="00FE6562" w:rsidRDefault="00846440" w:rsidP="00FE6562">
      <w:pPr>
        <w:pStyle w:val="ListParagraph"/>
        <w:numPr>
          <w:ilvl w:val="2"/>
          <w:numId w:val="5"/>
        </w:numPr>
        <w:tabs>
          <w:tab w:val="left" w:pos="10530"/>
        </w:tabs>
        <w:ind w:right="486"/>
        <w:jc w:val="both"/>
        <w:rPr>
          <w:b/>
          <w:sz w:val="28"/>
        </w:rPr>
      </w:pPr>
      <w:r>
        <w:rPr>
          <w:b/>
          <w:sz w:val="28"/>
        </w:rPr>
        <w:t>Mon</w:t>
      </w:r>
      <w:r w:rsidR="00066D84">
        <w:rPr>
          <w:b/>
          <w:sz w:val="28"/>
        </w:rPr>
        <w:t>i</w:t>
      </w:r>
      <w:r>
        <w:rPr>
          <w:b/>
          <w:sz w:val="28"/>
        </w:rPr>
        <w:t>tor Operations</w:t>
      </w:r>
    </w:p>
    <w:p w14:paraId="036FBBA3" w14:textId="77777777" w:rsidR="00FE6562" w:rsidRDefault="00FE6562" w:rsidP="00FE6562">
      <w:pPr>
        <w:pStyle w:val="ListParagraph"/>
        <w:numPr>
          <w:ilvl w:val="0"/>
          <w:numId w:val="4"/>
        </w:numPr>
        <w:tabs>
          <w:tab w:val="left" w:pos="10530"/>
        </w:tabs>
        <w:ind w:right="486"/>
        <w:jc w:val="both"/>
        <w:rPr>
          <w:sz w:val="28"/>
        </w:rPr>
      </w:pPr>
      <w:r w:rsidRPr="00115682">
        <w:rPr>
          <w:sz w:val="28"/>
        </w:rPr>
        <w:t xml:space="preserve">List </w:t>
      </w:r>
      <w:r>
        <w:rPr>
          <w:sz w:val="28"/>
        </w:rPr>
        <w:t>Service</w:t>
      </w:r>
      <w:r w:rsidRPr="00115682">
        <w:rPr>
          <w:sz w:val="28"/>
        </w:rPr>
        <w:t xml:space="preserve"> </w:t>
      </w:r>
      <w:r>
        <w:rPr>
          <w:sz w:val="28"/>
        </w:rPr>
        <w:t>Order</w:t>
      </w:r>
      <w:r w:rsidRPr="00115682">
        <w:rPr>
          <w:sz w:val="28"/>
        </w:rPr>
        <w:t xml:space="preserve"> </w:t>
      </w:r>
    </w:p>
    <w:p w14:paraId="707E2079" w14:textId="75FD1FE4" w:rsidR="00FE6562" w:rsidRPr="00115682" w:rsidRDefault="00FE6562" w:rsidP="00FE6562">
      <w:pPr>
        <w:pStyle w:val="ListParagraph"/>
        <w:numPr>
          <w:ilvl w:val="1"/>
          <w:numId w:val="4"/>
        </w:numPr>
        <w:tabs>
          <w:tab w:val="left" w:pos="10530"/>
        </w:tabs>
        <w:ind w:right="486"/>
        <w:jc w:val="both"/>
        <w:rPr>
          <w:sz w:val="28"/>
        </w:rPr>
      </w:pPr>
      <w:r w:rsidRPr="00115682">
        <w:rPr>
          <w:sz w:val="28"/>
        </w:rPr>
        <w:t>This operation list</w:t>
      </w:r>
      <w:r>
        <w:rPr>
          <w:sz w:val="28"/>
        </w:rPr>
        <w:t xml:space="preserve"> </w:t>
      </w:r>
      <w:r w:rsidR="00846440">
        <w:rPr>
          <w:sz w:val="28"/>
        </w:rPr>
        <w:t>monitor</w:t>
      </w:r>
      <w:r w:rsidRPr="00115682">
        <w:rPr>
          <w:sz w:val="28"/>
        </w:rPr>
        <w:t xml:space="preserve"> entities</w:t>
      </w:r>
    </w:p>
    <w:p w14:paraId="31B0AE01" w14:textId="77777777" w:rsidR="00FE6562" w:rsidRDefault="00FE6562" w:rsidP="00FE6562">
      <w:pPr>
        <w:pStyle w:val="ListParagraph"/>
        <w:numPr>
          <w:ilvl w:val="0"/>
          <w:numId w:val="4"/>
        </w:numPr>
        <w:tabs>
          <w:tab w:val="left" w:pos="10530"/>
        </w:tabs>
        <w:ind w:right="486"/>
        <w:jc w:val="both"/>
        <w:rPr>
          <w:sz w:val="28"/>
        </w:rPr>
      </w:pPr>
      <w:r w:rsidRPr="00115682">
        <w:rPr>
          <w:sz w:val="28"/>
        </w:rPr>
        <w:t xml:space="preserve">Retrieve </w:t>
      </w:r>
      <w:r>
        <w:rPr>
          <w:sz w:val="28"/>
        </w:rPr>
        <w:t>Service</w:t>
      </w:r>
      <w:r w:rsidRPr="00115682">
        <w:rPr>
          <w:sz w:val="28"/>
        </w:rPr>
        <w:t xml:space="preserve"> </w:t>
      </w:r>
      <w:r>
        <w:rPr>
          <w:sz w:val="28"/>
        </w:rPr>
        <w:t>Order</w:t>
      </w:r>
    </w:p>
    <w:p w14:paraId="62103381" w14:textId="6EAD6612" w:rsidR="00FE6562" w:rsidRPr="00115682" w:rsidRDefault="00FE6562" w:rsidP="00FE6562">
      <w:pPr>
        <w:pStyle w:val="ListParagraph"/>
        <w:numPr>
          <w:ilvl w:val="1"/>
          <w:numId w:val="4"/>
        </w:numPr>
        <w:tabs>
          <w:tab w:val="left" w:pos="10530"/>
        </w:tabs>
        <w:ind w:right="486"/>
        <w:jc w:val="both"/>
        <w:rPr>
          <w:sz w:val="28"/>
        </w:rPr>
      </w:pPr>
      <w:r w:rsidRPr="00115682">
        <w:rPr>
          <w:sz w:val="28"/>
        </w:rPr>
        <w:t>This operation retrieves a</w:t>
      </w:r>
      <w:r>
        <w:rPr>
          <w:sz w:val="28"/>
        </w:rPr>
        <w:t xml:space="preserve"> </w:t>
      </w:r>
      <w:r w:rsidR="00846440">
        <w:rPr>
          <w:sz w:val="28"/>
        </w:rPr>
        <w:t>monitor</w:t>
      </w:r>
      <w:r w:rsidR="00846440" w:rsidRPr="00115682">
        <w:rPr>
          <w:sz w:val="28"/>
        </w:rPr>
        <w:t xml:space="preserve"> </w:t>
      </w:r>
      <w:r w:rsidRPr="00115682">
        <w:rPr>
          <w:sz w:val="28"/>
        </w:rPr>
        <w:t>entity</w:t>
      </w:r>
    </w:p>
    <w:p w14:paraId="4E20896A" w14:textId="6B87C4BD" w:rsidR="00F37110" w:rsidRDefault="00F37110">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7A576153" w14:textId="77777777" w:rsidR="00BD230C" w:rsidRDefault="00BD230C" w:rsidP="008C536F">
      <w:pPr>
        <w:ind w:left="709"/>
        <w:rPr>
          <w:sz w:val="32"/>
        </w:rPr>
      </w:pPr>
    </w:p>
    <w:p w14:paraId="7FFA124B" w14:textId="32A3034F" w:rsidR="00BD230C" w:rsidRPr="008C536F" w:rsidRDefault="00C375FB" w:rsidP="008C536F">
      <w:pPr>
        <w:ind w:left="142"/>
        <w:rPr>
          <w:sz w:val="32"/>
        </w:rPr>
      </w:pPr>
      <w:r>
        <w:rPr>
          <w:noProof/>
          <w:sz w:val="32"/>
          <w:lang w:val="en-IN" w:eastAsia="en-IN"/>
        </w:rPr>
        <w:drawing>
          <wp:inline distT="0" distB="0" distL="0" distR="0" wp14:anchorId="611D8D93" wp14:editId="22DDD0E1">
            <wp:extent cx="6921500" cy="4273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0" cy="4273550"/>
                    </a:xfrm>
                    <a:prstGeom prst="rect">
                      <a:avLst/>
                    </a:prstGeom>
                    <a:noFill/>
                    <a:ln>
                      <a:noFill/>
                    </a:ln>
                  </pic:spPr>
                </pic:pic>
              </a:graphicData>
            </a:graphic>
          </wp:inline>
        </w:drawing>
      </w:r>
    </w:p>
    <w:p w14:paraId="40C9D5EA" w14:textId="77777777" w:rsidR="004866E9" w:rsidRPr="008C536F" w:rsidRDefault="004866E9" w:rsidP="008C536F">
      <w:pPr>
        <w:ind w:left="709"/>
        <w:rPr>
          <w:sz w:val="32"/>
        </w:rPr>
      </w:pPr>
    </w:p>
    <w:p w14:paraId="18F8C854" w14:textId="77777777" w:rsidR="001F4254" w:rsidRDefault="001F4254" w:rsidP="001F4254">
      <w:pPr>
        <w:pStyle w:val="ListParagraph"/>
        <w:numPr>
          <w:ilvl w:val="0"/>
          <w:numId w:val="1"/>
        </w:numPr>
        <w:ind w:left="709" w:firstLine="0"/>
        <w:rPr>
          <w:b/>
          <w:bCs/>
          <w:sz w:val="36"/>
          <w:lang w:bidi="en-US"/>
        </w:rPr>
      </w:pPr>
      <w:r>
        <w:rPr>
          <w:b/>
          <w:bCs/>
          <w:sz w:val="36"/>
          <w:lang w:bidi="en-US"/>
        </w:rPr>
        <w:t>Test Results</w:t>
      </w:r>
    </w:p>
    <w:p w14:paraId="0FAC6F9D" w14:textId="21DAE5A9" w:rsidR="00282704" w:rsidRPr="008C536F" w:rsidRDefault="00282704" w:rsidP="008C536F">
      <w:pPr>
        <w:ind w:left="709"/>
        <w:rPr>
          <w:sz w:val="32"/>
        </w:rPr>
      </w:pPr>
    </w:p>
    <w:bookmarkEnd w:id="2"/>
    <w:bookmarkEnd w:id="3"/>
    <w:p w14:paraId="37C4626D" w14:textId="79B6FB38" w:rsidR="004323D5" w:rsidRPr="008C536F" w:rsidRDefault="00DF01F2" w:rsidP="00FA458A">
      <w:pPr>
        <w:ind w:left="709"/>
        <w:jc w:val="center"/>
        <w:rPr>
          <w:sz w:val="32"/>
        </w:rPr>
      </w:pPr>
      <w:r>
        <w:rPr>
          <w:sz w:val="32"/>
        </w:rPr>
        <w:object w:dxaOrig="1531" w:dyaOrig="994" w14:anchorId="202A3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9" o:title=""/>
          </v:shape>
          <o:OLEObject Type="Embed" ProgID="Package" ShapeID="_x0000_i1027" DrawAspect="Icon" ObjectID="_1675512873" r:id="rId10"/>
        </w:object>
      </w:r>
    </w:p>
    <w:sectPr w:rsidR="004323D5" w:rsidRPr="008C536F" w:rsidSect="00DF01F2">
      <w:headerReference w:type="default" r:id="rId11"/>
      <w:footerReference w:type="default" r:id="rId12"/>
      <w:headerReference w:type="first" r:id="rId13"/>
      <w:footerReference w:type="first" r:id="rId14"/>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E3913" w14:textId="77777777" w:rsidR="00651C75" w:rsidRDefault="00651C75" w:rsidP="004323D5">
      <w:r>
        <w:separator/>
      </w:r>
    </w:p>
  </w:endnote>
  <w:endnote w:type="continuationSeparator" w:id="0">
    <w:p w14:paraId="4370A92B" w14:textId="77777777" w:rsidR="00651C75" w:rsidRDefault="00651C75"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732E73DE"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DF01F2">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C375FB">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C375FB">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32CF364F"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2018</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DF792" w14:textId="77777777" w:rsidR="00651C75" w:rsidRDefault="00651C75" w:rsidP="004323D5">
      <w:r>
        <w:separator/>
      </w:r>
    </w:p>
  </w:footnote>
  <w:footnote w:type="continuationSeparator" w:id="0">
    <w:p w14:paraId="16AC936A" w14:textId="77777777" w:rsidR="00651C75" w:rsidRDefault="00651C75"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71DA4C83" w:rsidR="00B00710" w:rsidRDefault="00651C75"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2049"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r w:rsidR="00B00710">
      <w:rPr>
        <w:noProof/>
        <w:lang w:val="en-IN" w:eastAsia="en-I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B71BE5"/>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056782"/>
    <w:rsid w:val="00066D84"/>
    <w:rsid w:val="000D6112"/>
    <w:rsid w:val="00115682"/>
    <w:rsid w:val="00134635"/>
    <w:rsid w:val="0015714B"/>
    <w:rsid w:val="001A18F1"/>
    <w:rsid w:val="001F05C0"/>
    <w:rsid w:val="001F4254"/>
    <w:rsid w:val="00214338"/>
    <w:rsid w:val="00265554"/>
    <w:rsid w:val="00282704"/>
    <w:rsid w:val="002D7080"/>
    <w:rsid w:val="002D7FA9"/>
    <w:rsid w:val="003063D6"/>
    <w:rsid w:val="00382933"/>
    <w:rsid w:val="003C5139"/>
    <w:rsid w:val="00404E2D"/>
    <w:rsid w:val="004323D5"/>
    <w:rsid w:val="00463606"/>
    <w:rsid w:val="004866E9"/>
    <w:rsid w:val="004F1001"/>
    <w:rsid w:val="00513481"/>
    <w:rsid w:val="00565176"/>
    <w:rsid w:val="005B7713"/>
    <w:rsid w:val="00651C75"/>
    <w:rsid w:val="00656B7C"/>
    <w:rsid w:val="00720E69"/>
    <w:rsid w:val="00721988"/>
    <w:rsid w:val="00727C91"/>
    <w:rsid w:val="007412DF"/>
    <w:rsid w:val="0074356D"/>
    <w:rsid w:val="007A277D"/>
    <w:rsid w:val="00801167"/>
    <w:rsid w:val="00834582"/>
    <w:rsid w:val="00846440"/>
    <w:rsid w:val="008C536F"/>
    <w:rsid w:val="008D2DCE"/>
    <w:rsid w:val="0090244B"/>
    <w:rsid w:val="00921306"/>
    <w:rsid w:val="009219E2"/>
    <w:rsid w:val="009761B4"/>
    <w:rsid w:val="009B1AB5"/>
    <w:rsid w:val="009C5DED"/>
    <w:rsid w:val="00A04681"/>
    <w:rsid w:val="00A77BAC"/>
    <w:rsid w:val="00AE0285"/>
    <w:rsid w:val="00B00710"/>
    <w:rsid w:val="00B30C36"/>
    <w:rsid w:val="00BA3364"/>
    <w:rsid w:val="00BD230C"/>
    <w:rsid w:val="00C375FB"/>
    <w:rsid w:val="00C96C60"/>
    <w:rsid w:val="00C9779E"/>
    <w:rsid w:val="00CC2BF6"/>
    <w:rsid w:val="00CD18B2"/>
    <w:rsid w:val="00CF414E"/>
    <w:rsid w:val="00D01254"/>
    <w:rsid w:val="00DA3363"/>
    <w:rsid w:val="00DB2CC3"/>
    <w:rsid w:val="00DF01F2"/>
    <w:rsid w:val="00E01871"/>
    <w:rsid w:val="00EA59F1"/>
    <w:rsid w:val="00EC46DA"/>
    <w:rsid w:val="00ED2D0A"/>
    <w:rsid w:val="00EE1557"/>
    <w:rsid w:val="00F24D71"/>
    <w:rsid w:val="00F37110"/>
    <w:rsid w:val="00F922B0"/>
    <w:rsid w:val="00FA458A"/>
    <w:rsid w:val="00FE65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2021-02-22T14:27:00Z</dcterms:created>
  <dcterms:modified xsi:type="dcterms:W3CDTF">2021-02-22T14:28:00Z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