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5B43" w:rsidRDefault="004E1B86">
      <w:pPr>
        <w:keepNext/>
        <w:keepLines/>
        <w:ind w:left="709"/>
        <w:rPr>
          <w:rFonts w:ascii="Georgia" w:eastAsia="Georgia" w:hAnsi="Georgia" w:cs="Georgia"/>
          <w:b/>
          <w:color w:val="FF0000"/>
          <w:sz w:val="56"/>
          <w:szCs w:val="56"/>
        </w:rPr>
      </w:pPr>
      <w:r>
        <w:br/>
      </w:r>
      <w:r>
        <w:br/>
      </w:r>
      <w:r>
        <w:br/>
      </w:r>
      <w:r>
        <w:br/>
      </w:r>
      <w:r>
        <w:br/>
      </w:r>
      <w:r>
        <w:rPr>
          <w:rFonts w:ascii="Georgia" w:eastAsia="Georgia" w:hAnsi="Georgia" w:cs="Georgia"/>
          <w:b/>
          <w:color w:val="FF0000"/>
          <w:sz w:val="56"/>
          <w:szCs w:val="56"/>
        </w:rPr>
        <w:t>TM Forum Open APIs</w:t>
      </w:r>
      <w:r>
        <w:rPr>
          <w:rFonts w:ascii="Georgia" w:eastAsia="Georgia" w:hAnsi="Georgia" w:cs="Georgia"/>
          <w:b/>
          <w:color w:val="FF0000"/>
          <w:sz w:val="56"/>
          <w:szCs w:val="56"/>
        </w:rPr>
        <w:br/>
      </w:r>
    </w:p>
    <w:p w14:paraId="00000002" w14:textId="77777777" w:rsidR="004E5B43" w:rsidRDefault="004E1B86">
      <w:pPr>
        <w:tabs>
          <w:tab w:val="right" w:pos="9360"/>
        </w:tabs>
        <w:spacing w:before="120"/>
        <w:ind w:left="709"/>
        <w:rPr>
          <w:b/>
          <w:color w:val="404040"/>
          <w:sz w:val="64"/>
          <w:szCs w:val="64"/>
        </w:rPr>
      </w:pPr>
      <w:r>
        <w:rPr>
          <w:b/>
          <w:color w:val="404040"/>
          <w:sz w:val="64"/>
          <w:szCs w:val="64"/>
        </w:rPr>
        <w:t>Conformance Certification</w:t>
      </w:r>
    </w:p>
    <w:p w14:paraId="00000003" w14:textId="77777777" w:rsidR="004E5B43" w:rsidRDefault="004E5B43">
      <w:pPr>
        <w:tabs>
          <w:tab w:val="right" w:pos="9360"/>
        </w:tabs>
        <w:spacing w:before="120"/>
        <w:ind w:left="709"/>
        <w:rPr>
          <w:rFonts w:ascii="Arial Rounded" w:eastAsia="Arial Rounded" w:hAnsi="Arial Rounded" w:cs="Arial Rounded"/>
          <w:b/>
          <w:color w:val="404040"/>
          <w:sz w:val="64"/>
          <w:szCs w:val="64"/>
        </w:rPr>
      </w:pPr>
    </w:p>
    <w:p w14:paraId="00000004" w14:textId="77777777" w:rsidR="004E5B43" w:rsidRDefault="004E1B86">
      <w:pPr>
        <w:keepNext/>
        <w:keepLines/>
        <w:ind w:left="709"/>
        <w:rPr>
          <w:b/>
          <w:i/>
          <w:color w:val="404040"/>
          <w:sz w:val="40"/>
          <w:szCs w:val="40"/>
        </w:rPr>
      </w:pPr>
      <w:r>
        <w:rPr>
          <w:i/>
          <w:color w:val="404040"/>
          <w:sz w:val="40"/>
          <w:szCs w:val="40"/>
        </w:rPr>
        <w:t xml:space="preserve">Company Name: </w:t>
      </w:r>
      <w:proofErr w:type="spellStart"/>
      <w:r>
        <w:rPr>
          <w:b/>
          <w:i/>
          <w:color w:val="404040"/>
          <w:sz w:val="40"/>
          <w:szCs w:val="40"/>
        </w:rPr>
        <w:t>Totogi</w:t>
      </w:r>
      <w:proofErr w:type="spellEnd"/>
    </w:p>
    <w:p w14:paraId="00000005" w14:textId="77777777" w:rsidR="004E5B43" w:rsidRDefault="004E5B43">
      <w:pPr>
        <w:keepNext/>
        <w:keepLines/>
        <w:ind w:left="709"/>
        <w:rPr>
          <w:i/>
          <w:color w:val="404040"/>
          <w:sz w:val="40"/>
          <w:szCs w:val="40"/>
        </w:rPr>
      </w:pPr>
    </w:p>
    <w:p w14:paraId="57AC99F6" w14:textId="77777777" w:rsidR="008B4EDE" w:rsidRDefault="004E1B86">
      <w:pPr>
        <w:keepNext/>
        <w:keepLines/>
        <w:ind w:left="709"/>
        <w:rPr>
          <w:i/>
          <w:color w:val="404040"/>
          <w:sz w:val="40"/>
          <w:szCs w:val="40"/>
        </w:rPr>
      </w:pPr>
      <w:r>
        <w:rPr>
          <w:i/>
          <w:color w:val="404040"/>
          <w:sz w:val="40"/>
          <w:szCs w:val="40"/>
        </w:rPr>
        <w:t>TM Forum Open API Name:</w:t>
      </w:r>
    </w:p>
    <w:p w14:paraId="00000006" w14:textId="139B4CF5" w:rsidR="004E5B43" w:rsidRDefault="004E1B86">
      <w:pPr>
        <w:keepNext/>
        <w:keepLines/>
        <w:ind w:left="709"/>
        <w:rPr>
          <w:b/>
          <w:i/>
          <w:color w:val="404040"/>
          <w:sz w:val="40"/>
          <w:szCs w:val="40"/>
        </w:rPr>
      </w:pPr>
      <w:r>
        <w:rPr>
          <w:b/>
          <w:i/>
          <w:color w:val="404040"/>
          <w:sz w:val="40"/>
          <w:szCs w:val="40"/>
        </w:rPr>
        <w:t>Party management API TMF632</w:t>
      </w:r>
    </w:p>
    <w:p w14:paraId="00000007" w14:textId="77777777" w:rsidR="004E5B43" w:rsidRDefault="004E5B43">
      <w:pPr>
        <w:keepNext/>
        <w:keepLines/>
        <w:ind w:left="709"/>
        <w:rPr>
          <w:i/>
          <w:color w:val="404040"/>
          <w:sz w:val="40"/>
          <w:szCs w:val="40"/>
        </w:rPr>
      </w:pPr>
    </w:p>
    <w:p w14:paraId="00000008" w14:textId="47E41DA2" w:rsidR="004E5B43" w:rsidRDefault="004E1B86">
      <w:pPr>
        <w:keepNext/>
        <w:keepLines/>
        <w:ind w:left="709"/>
        <w:rPr>
          <w:i/>
          <w:color w:val="404040"/>
          <w:sz w:val="40"/>
          <w:szCs w:val="40"/>
        </w:rPr>
      </w:pPr>
      <w:r>
        <w:rPr>
          <w:i/>
          <w:color w:val="404040"/>
          <w:sz w:val="40"/>
          <w:szCs w:val="40"/>
        </w:rPr>
        <w:t xml:space="preserve">TM Forum Open API Release Version: </w:t>
      </w:r>
      <w:r>
        <w:rPr>
          <w:b/>
          <w:i/>
          <w:color w:val="404040"/>
          <w:sz w:val="40"/>
          <w:szCs w:val="40"/>
        </w:rPr>
        <w:t xml:space="preserve">19.0 </w:t>
      </w:r>
      <w:r w:rsidR="009B6703">
        <w:rPr>
          <w:b/>
          <w:i/>
          <w:color w:val="404040"/>
          <w:sz w:val="40"/>
          <w:szCs w:val="40"/>
        </w:rPr>
        <w:t xml:space="preserve">/ </w:t>
      </w:r>
      <w:r>
        <w:rPr>
          <w:b/>
          <w:i/>
          <w:color w:val="404040"/>
          <w:sz w:val="40"/>
          <w:szCs w:val="40"/>
        </w:rPr>
        <w:t>4.0</w:t>
      </w:r>
    </w:p>
    <w:p w14:paraId="00000009" w14:textId="77777777" w:rsidR="004E5B43" w:rsidRDefault="004E5B43">
      <w:pPr>
        <w:tabs>
          <w:tab w:val="right" w:pos="9360"/>
        </w:tabs>
        <w:ind w:left="709"/>
        <w:rPr>
          <w:b/>
          <w:color w:val="404040"/>
          <w:sz w:val="36"/>
          <w:szCs w:val="36"/>
        </w:rPr>
      </w:pPr>
    </w:p>
    <w:p w14:paraId="0000000A" w14:textId="77777777" w:rsidR="004E5B43" w:rsidRDefault="004E5B43">
      <w:pPr>
        <w:tabs>
          <w:tab w:val="right" w:pos="9360"/>
        </w:tabs>
        <w:ind w:left="709"/>
        <w:rPr>
          <w:b/>
          <w:color w:val="404040"/>
          <w:sz w:val="36"/>
          <w:szCs w:val="36"/>
        </w:rPr>
      </w:pPr>
    </w:p>
    <w:p w14:paraId="0000000B" w14:textId="77777777" w:rsidR="004E5B43" w:rsidRDefault="004E5B43">
      <w:pPr>
        <w:tabs>
          <w:tab w:val="right" w:pos="9360"/>
        </w:tabs>
        <w:ind w:left="709"/>
        <w:rPr>
          <w:b/>
          <w:color w:val="404040"/>
          <w:sz w:val="36"/>
          <w:szCs w:val="36"/>
        </w:rPr>
      </w:pPr>
    </w:p>
    <w:p w14:paraId="0000000C" w14:textId="77777777" w:rsidR="004E5B43" w:rsidRDefault="004E5B43">
      <w:pPr>
        <w:tabs>
          <w:tab w:val="right" w:pos="9360"/>
        </w:tabs>
        <w:ind w:left="709"/>
        <w:rPr>
          <w:b/>
          <w:color w:val="404040"/>
          <w:sz w:val="36"/>
          <w:szCs w:val="36"/>
        </w:rPr>
      </w:pPr>
    </w:p>
    <w:p w14:paraId="0000000D" w14:textId="77777777" w:rsidR="004E5B43" w:rsidRDefault="004E5B43">
      <w:pPr>
        <w:tabs>
          <w:tab w:val="right" w:pos="9360"/>
        </w:tabs>
        <w:ind w:left="709"/>
        <w:rPr>
          <w:b/>
          <w:color w:val="404040"/>
          <w:sz w:val="36"/>
          <w:szCs w:val="36"/>
        </w:rPr>
      </w:pPr>
    </w:p>
    <w:p w14:paraId="0000000E" w14:textId="77777777" w:rsidR="004E5B43" w:rsidRDefault="004E5B43">
      <w:pPr>
        <w:tabs>
          <w:tab w:val="right" w:pos="9360"/>
        </w:tabs>
        <w:ind w:left="709"/>
        <w:rPr>
          <w:b/>
          <w:color w:val="404040"/>
          <w:sz w:val="36"/>
          <w:szCs w:val="36"/>
        </w:rPr>
      </w:pPr>
    </w:p>
    <w:p w14:paraId="0000000F" w14:textId="77777777" w:rsidR="004E5B43" w:rsidRDefault="004E5B43">
      <w:pPr>
        <w:tabs>
          <w:tab w:val="right" w:pos="9360"/>
        </w:tabs>
        <w:ind w:left="709"/>
        <w:rPr>
          <w:b/>
          <w:color w:val="404040"/>
          <w:sz w:val="36"/>
          <w:szCs w:val="36"/>
        </w:rPr>
      </w:pPr>
    </w:p>
    <w:p w14:paraId="00000010" w14:textId="77777777" w:rsidR="004E5B43" w:rsidRDefault="004E5B43">
      <w:pPr>
        <w:tabs>
          <w:tab w:val="right" w:pos="9360"/>
        </w:tabs>
        <w:ind w:left="709"/>
        <w:rPr>
          <w:b/>
          <w:color w:val="404040"/>
          <w:sz w:val="36"/>
          <w:szCs w:val="36"/>
        </w:rPr>
      </w:pPr>
    </w:p>
    <w:p w14:paraId="00000011" w14:textId="77777777" w:rsidR="004E5B43" w:rsidRDefault="004E5B43">
      <w:pPr>
        <w:tabs>
          <w:tab w:val="right" w:pos="9360"/>
        </w:tabs>
        <w:ind w:left="709"/>
        <w:rPr>
          <w:b/>
          <w:color w:val="404040"/>
          <w:sz w:val="36"/>
          <w:szCs w:val="36"/>
        </w:rPr>
      </w:pPr>
    </w:p>
    <w:p w14:paraId="00000012" w14:textId="77777777" w:rsidR="004E5B43" w:rsidRDefault="004E5B43">
      <w:pPr>
        <w:tabs>
          <w:tab w:val="right" w:pos="9360"/>
        </w:tabs>
        <w:ind w:left="709"/>
        <w:rPr>
          <w:b/>
          <w:color w:val="404040"/>
          <w:sz w:val="36"/>
          <w:szCs w:val="36"/>
        </w:rPr>
      </w:pPr>
    </w:p>
    <w:p w14:paraId="00000013" w14:textId="77777777" w:rsidR="004E5B43" w:rsidRDefault="004E1B86">
      <w:pPr>
        <w:tabs>
          <w:tab w:val="right" w:pos="9360"/>
        </w:tabs>
        <w:ind w:left="709"/>
      </w:pPr>
      <w:r>
        <w:rPr>
          <w:b/>
          <w:color w:val="404040"/>
          <w:sz w:val="36"/>
          <w:szCs w:val="36"/>
        </w:rPr>
        <w:t>Report Date: 3rd June 2021</w:t>
      </w:r>
      <w:r>
        <w:br w:type="page"/>
      </w:r>
    </w:p>
    <w:p w14:paraId="00000014" w14:textId="14EC4A4F" w:rsidR="004E5B43" w:rsidRDefault="004E1B86">
      <w:pPr>
        <w:numPr>
          <w:ilvl w:val="0"/>
          <w:numId w:val="2"/>
        </w:numPr>
        <w:pBdr>
          <w:top w:val="nil"/>
          <w:left w:val="nil"/>
          <w:bottom w:val="nil"/>
          <w:right w:val="nil"/>
          <w:between w:val="nil"/>
        </w:pBdr>
        <w:ind w:left="709" w:firstLine="0"/>
        <w:rPr>
          <w:b/>
          <w:color w:val="000000"/>
          <w:sz w:val="36"/>
          <w:szCs w:val="36"/>
        </w:rPr>
      </w:pPr>
      <w:bookmarkStart w:id="0" w:name="_heading=h.gjdgxs" w:colFirst="0" w:colLast="0"/>
      <w:bookmarkEnd w:id="0"/>
      <w:r>
        <w:rPr>
          <w:b/>
          <w:color w:val="000000"/>
          <w:sz w:val="36"/>
          <w:szCs w:val="36"/>
        </w:rPr>
        <w:lastRenderedPageBreak/>
        <w:t>What Product or Solution does your API support?</w:t>
      </w:r>
    </w:p>
    <w:p w14:paraId="00000015" w14:textId="77777777" w:rsidR="004E5B43" w:rsidRDefault="004E1B86">
      <w:pPr>
        <w:rPr>
          <w:sz w:val="32"/>
          <w:szCs w:val="32"/>
        </w:rPr>
      </w:pPr>
      <w:r>
        <w:rPr>
          <w:sz w:val="32"/>
          <w:szCs w:val="32"/>
        </w:rPr>
        <w:tab/>
      </w:r>
    </w:p>
    <w:p w14:paraId="00000016" w14:textId="7F4AFC13" w:rsidR="004E5B43" w:rsidRDefault="004E1B86">
      <w:pPr>
        <w:spacing w:line="276" w:lineRule="auto"/>
        <w:ind w:left="700"/>
        <w:jc w:val="both"/>
        <w:rPr>
          <w:sz w:val="32"/>
          <w:szCs w:val="32"/>
        </w:rPr>
      </w:pPr>
      <w:r>
        <w:rPr>
          <w:sz w:val="32"/>
          <w:szCs w:val="32"/>
        </w:rPr>
        <w:t xml:space="preserve">Party management API TMF632 is the first of the many </w:t>
      </w:r>
      <w:r w:rsidR="008B4EDE">
        <w:rPr>
          <w:sz w:val="32"/>
          <w:szCs w:val="32"/>
        </w:rPr>
        <w:t>TM Forum</w:t>
      </w:r>
      <w:r>
        <w:rPr>
          <w:sz w:val="32"/>
          <w:szCs w:val="32"/>
        </w:rPr>
        <w:t xml:space="preserve"> APIs the </w:t>
      </w:r>
      <w:proofErr w:type="spellStart"/>
      <w:r>
        <w:rPr>
          <w:sz w:val="32"/>
          <w:szCs w:val="32"/>
        </w:rPr>
        <w:t>Totogi</w:t>
      </w:r>
      <w:proofErr w:type="spellEnd"/>
      <w:r>
        <w:rPr>
          <w:sz w:val="32"/>
          <w:szCs w:val="32"/>
        </w:rPr>
        <w:t xml:space="preserve"> BSS has instantiated.  With this deployment we will enable the delivery of a standardized mechanism for party management (individual and enterprise and related </w:t>
      </w:r>
      <w:proofErr w:type="spellStart"/>
      <w:r>
        <w:rPr>
          <w:sz w:val="32"/>
          <w:szCs w:val="32"/>
        </w:rPr>
        <w:t>organisations</w:t>
      </w:r>
      <w:proofErr w:type="spellEnd"/>
      <w:r>
        <w:rPr>
          <w:sz w:val="32"/>
          <w:szCs w:val="32"/>
        </w:rPr>
        <w:t xml:space="preserve">) including creation, update, retrieval, deletion and notification of events.  This functionality is supported by the </w:t>
      </w:r>
      <w:proofErr w:type="spellStart"/>
      <w:r>
        <w:rPr>
          <w:sz w:val="32"/>
          <w:szCs w:val="32"/>
        </w:rPr>
        <w:t>Totogi</w:t>
      </w:r>
      <w:proofErr w:type="spellEnd"/>
      <w:r>
        <w:rPr>
          <w:sz w:val="32"/>
          <w:szCs w:val="32"/>
        </w:rPr>
        <w:t xml:space="preserve"> BSS platform. </w:t>
      </w:r>
    </w:p>
    <w:p w14:paraId="00000017" w14:textId="77777777" w:rsidR="004E5B43" w:rsidRDefault="004E5B43">
      <w:pPr>
        <w:spacing w:line="276" w:lineRule="auto"/>
        <w:ind w:left="700"/>
        <w:jc w:val="both"/>
        <w:rPr>
          <w:sz w:val="32"/>
          <w:szCs w:val="32"/>
        </w:rPr>
      </w:pPr>
    </w:p>
    <w:p w14:paraId="00000018" w14:textId="77777777" w:rsidR="004E5B43" w:rsidRDefault="004E1B86">
      <w:pPr>
        <w:spacing w:line="276" w:lineRule="auto"/>
        <w:ind w:left="700"/>
        <w:jc w:val="both"/>
        <w:rPr>
          <w:sz w:val="32"/>
          <w:szCs w:val="32"/>
        </w:rPr>
      </w:pPr>
      <w:r>
        <w:rPr>
          <w:sz w:val="32"/>
          <w:szCs w:val="32"/>
        </w:rPr>
        <w:t xml:space="preserve">Communication Service Providers (CSPs) are constantly </w:t>
      </w:r>
      <w:proofErr w:type="spellStart"/>
      <w:r>
        <w:rPr>
          <w:sz w:val="32"/>
          <w:szCs w:val="32"/>
        </w:rPr>
        <w:t>moulding</w:t>
      </w:r>
      <w:proofErr w:type="spellEnd"/>
      <w:r>
        <w:rPr>
          <w:sz w:val="32"/>
          <w:szCs w:val="32"/>
        </w:rPr>
        <w:t xml:space="preserve"> and adapting their platforms to communicate with each other.  Every new service or product that is delivered to the market requires change to a vast number of internal systems.  Launch times lag the market need and revenue opportunities are lost. </w:t>
      </w:r>
    </w:p>
    <w:p w14:paraId="00000019" w14:textId="77777777" w:rsidR="004E5B43" w:rsidRDefault="004E5B43">
      <w:pPr>
        <w:spacing w:line="276" w:lineRule="auto"/>
        <w:ind w:left="700"/>
        <w:jc w:val="both"/>
        <w:rPr>
          <w:sz w:val="32"/>
          <w:szCs w:val="32"/>
        </w:rPr>
      </w:pPr>
    </w:p>
    <w:p w14:paraId="0000001A" w14:textId="77777777" w:rsidR="004E5B43" w:rsidRDefault="004E1B86">
      <w:pPr>
        <w:spacing w:line="276" w:lineRule="auto"/>
        <w:ind w:left="700"/>
        <w:jc w:val="both"/>
        <w:rPr>
          <w:sz w:val="32"/>
          <w:szCs w:val="32"/>
        </w:rPr>
      </w:pPr>
      <w:r>
        <w:rPr>
          <w:sz w:val="32"/>
          <w:szCs w:val="32"/>
        </w:rPr>
        <w:t xml:space="preserve">Furthermore, the CSPs need to retain customers and excite those customers into buying more services.  The range of services is expanding and the CSP has to adopt new content and create a more </w:t>
      </w:r>
      <w:proofErr w:type="spellStart"/>
      <w:r>
        <w:rPr>
          <w:sz w:val="32"/>
          <w:szCs w:val="32"/>
        </w:rPr>
        <w:t>personalised</w:t>
      </w:r>
      <w:proofErr w:type="spellEnd"/>
      <w:r>
        <w:rPr>
          <w:sz w:val="32"/>
          <w:szCs w:val="32"/>
        </w:rPr>
        <w:t xml:space="preserve"> experience that delights the customer and extends the size of wallet the CSP can target.</w:t>
      </w:r>
    </w:p>
    <w:p w14:paraId="0000001B" w14:textId="77777777" w:rsidR="004E5B43" w:rsidRDefault="004E5B43">
      <w:pPr>
        <w:spacing w:line="276" w:lineRule="auto"/>
        <w:ind w:left="700"/>
        <w:jc w:val="both"/>
        <w:rPr>
          <w:sz w:val="32"/>
          <w:szCs w:val="32"/>
        </w:rPr>
      </w:pPr>
    </w:p>
    <w:p w14:paraId="0000001C" w14:textId="77777777" w:rsidR="004E5B43" w:rsidRDefault="004E1B86">
      <w:pPr>
        <w:spacing w:line="276" w:lineRule="auto"/>
        <w:ind w:left="700"/>
        <w:jc w:val="both"/>
        <w:rPr>
          <w:sz w:val="32"/>
          <w:szCs w:val="32"/>
        </w:rPr>
      </w:pPr>
      <w:r>
        <w:rPr>
          <w:sz w:val="32"/>
          <w:szCs w:val="32"/>
        </w:rPr>
        <w:t>As the range of services are extended the CSP is forced to upgrade or change existing systems, processes and channels while adding new, complementary platforms to evolve to a fully Digital Services Provider (DSP).</w:t>
      </w:r>
    </w:p>
    <w:p w14:paraId="0000001D" w14:textId="77777777" w:rsidR="004E5B43" w:rsidRDefault="004E5B43">
      <w:pPr>
        <w:spacing w:line="276" w:lineRule="auto"/>
        <w:ind w:left="700"/>
        <w:jc w:val="both"/>
        <w:rPr>
          <w:sz w:val="32"/>
          <w:szCs w:val="32"/>
        </w:rPr>
      </w:pPr>
    </w:p>
    <w:p w14:paraId="0000001E" w14:textId="77777777" w:rsidR="004E5B43" w:rsidRDefault="004E1B86">
      <w:pPr>
        <w:spacing w:line="276" w:lineRule="auto"/>
        <w:ind w:left="700"/>
        <w:jc w:val="both"/>
        <w:rPr>
          <w:sz w:val="32"/>
          <w:szCs w:val="32"/>
        </w:rPr>
      </w:pPr>
      <w:r>
        <w:rPr>
          <w:sz w:val="32"/>
          <w:szCs w:val="32"/>
        </w:rPr>
        <w:t xml:space="preserve">To facilitate this move to the DSP model the entire </w:t>
      </w:r>
      <w:proofErr w:type="spellStart"/>
      <w:r>
        <w:rPr>
          <w:sz w:val="32"/>
          <w:szCs w:val="32"/>
        </w:rPr>
        <w:t>Totogi</w:t>
      </w:r>
      <w:proofErr w:type="spellEnd"/>
      <w:r>
        <w:rPr>
          <w:sz w:val="32"/>
          <w:szCs w:val="32"/>
        </w:rPr>
        <w:t xml:space="preserve"> product suite leverages the power of the public cloud.  Why? Because the </w:t>
      </w:r>
      <w:proofErr w:type="spellStart"/>
      <w:r>
        <w:rPr>
          <w:sz w:val="32"/>
          <w:szCs w:val="32"/>
        </w:rPr>
        <w:t>Hyperscalers</w:t>
      </w:r>
      <w:proofErr w:type="spellEnd"/>
      <w:r>
        <w:rPr>
          <w:sz w:val="32"/>
          <w:szCs w:val="32"/>
        </w:rPr>
        <w:t xml:space="preserve"> are investing billions of dollars in delivering and continually improving the best development, data management and performance tools.  </w:t>
      </w:r>
      <w:proofErr w:type="spellStart"/>
      <w:r>
        <w:rPr>
          <w:sz w:val="32"/>
          <w:szCs w:val="32"/>
        </w:rPr>
        <w:t>Totogi</w:t>
      </w:r>
      <w:proofErr w:type="spellEnd"/>
      <w:r>
        <w:rPr>
          <w:sz w:val="32"/>
          <w:szCs w:val="32"/>
        </w:rPr>
        <w:t xml:space="preserve"> leverages that investment and delivers web scale performance and availability.  </w:t>
      </w:r>
    </w:p>
    <w:p w14:paraId="0000001F" w14:textId="77777777" w:rsidR="004E5B43" w:rsidRDefault="004E1B86">
      <w:pPr>
        <w:spacing w:line="276" w:lineRule="auto"/>
        <w:ind w:left="700"/>
        <w:jc w:val="both"/>
        <w:rPr>
          <w:sz w:val="32"/>
          <w:szCs w:val="32"/>
        </w:rPr>
      </w:pPr>
      <w:r>
        <w:rPr>
          <w:sz w:val="32"/>
          <w:szCs w:val="32"/>
        </w:rPr>
        <w:t xml:space="preserve"> </w:t>
      </w:r>
    </w:p>
    <w:p w14:paraId="00000020" w14:textId="25CE263F" w:rsidR="004E5B43" w:rsidRDefault="004E1B86">
      <w:pPr>
        <w:spacing w:line="276" w:lineRule="auto"/>
        <w:ind w:left="700"/>
        <w:jc w:val="both"/>
        <w:rPr>
          <w:sz w:val="32"/>
          <w:szCs w:val="32"/>
        </w:rPr>
      </w:pPr>
      <w:proofErr w:type="spellStart"/>
      <w:r>
        <w:rPr>
          <w:sz w:val="32"/>
          <w:szCs w:val="32"/>
        </w:rPr>
        <w:t>Totogi</w:t>
      </w:r>
      <w:proofErr w:type="spellEnd"/>
      <w:r>
        <w:rPr>
          <w:sz w:val="32"/>
          <w:szCs w:val="32"/>
        </w:rPr>
        <w:t xml:space="preserve"> BSS is the public cloud based platform that enables a CSP to drive its evolution to become a DSP.  As it evolves, it will incorporate all the </w:t>
      </w:r>
      <w:r w:rsidR="008B4EDE">
        <w:rPr>
          <w:sz w:val="32"/>
          <w:szCs w:val="32"/>
        </w:rPr>
        <w:t>TM Forum</w:t>
      </w:r>
      <w:r>
        <w:rPr>
          <w:sz w:val="32"/>
          <w:szCs w:val="32"/>
        </w:rPr>
        <w:t xml:space="preserve"> APIs and enable the CSP/DSP to deliver new services by building applications in low-code/no-code tools that use the instantiated TM Forum APIs.</w:t>
      </w:r>
    </w:p>
    <w:p w14:paraId="00000021" w14:textId="77777777" w:rsidR="004E5B43" w:rsidRDefault="004E5B43">
      <w:pPr>
        <w:spacing w:line="276" w:lineRule="auto"/>
        <w:ind w:left="700"/>
        <w:jc w:val="both"/>
        <w:rPr>
          <w:sz w:val="32"/>
          <w:szCs w:val="32"/>
        </w:rPr>
      </w:pPr>
    </w:p>
    <w:p w14:paraId="00000022" w14:textId="79AF05B1" w:rsidR="004E5B43" w:rsidRDefault="004E1B86">
      <w:pPr>
        <w:spacing w:line="276" w:lineRule="auto"/>
        <w:ind w:left="700"/>
        <w:jc w:val="both"/>
        <w:rPr>
          <w:sz w:val="32"/>
          <w:szCs w:val="32"/>
        </w:rPr>
      </w:pPr>
      <w:r>
        <w:rPr>
          <w:b/>
          <w:sz w:val="32"/>
          <w:szCs w:val="32"/>
        </w:rPr>
        <w:t xml:space="preserve">Data Management: </w:t>
      </w:r>
      <w:r>
        <w:rPr>
          <w:sz w:val="32"/>
          <w:szCs w:val="32"/>
        </w:rPr>
        <w:t xml:space="preserve">All our APIs store data into a </w:t>
      </w:r>
      <w:r w:rsidR="008B4EDE">
        <w:rPr>
          <w:sz w:val="32"/>
          <w:szCs w:val="32"/>
        </w:rPr>
        <w:t>TM Forum</w:t>
      </w:r>
      <w:r>
        <w:rPr>
          <w:sz w:val="32"/>
          <w:szCs w:val="32"/>
        </w:rPr>
        <w:t xml:space="preserve"> compliant data structure.  This makes all data available via the public cloud and enables any tool to access information through the published API mechanism.</w:t>
      </w:r>
    </w:p>
    <w:p w14:paraId="00000023" w14:textId="77777777" w:rsidR="004E5B43" w:rsidRDefault="004E1B86">
      <w:pPr>
        <w:spacing w:line="276" w:lineRule="auto"/>
        <w:ind w:left="700"/>
        <w:jc w:val="both"/>
        <w:rPr>
          <w:sz w:val="32"/>
          <w:szCs w:val="32"/>
        </w:rPr>
      </w:pPr>
      <w:r>
        <w:rPr>
          <w:sz w:val="32"/>
          <w:szCs w:val="32"/>
        </w:rPr>
        <w:t xml:space="preserve"> </w:t>
      </w:r>
    </w:p>
    <w:p w14:paraId="00000024" w14:textId="77777777" w:rsidR="004E5B43" w:rsidRDefault="004E1B86">
      <w:pPr>
        <w:spacing w:line="276" w:lineRule="auto"/>
        <w:ind w:left="700"/>
        <w:jc w:val="both"/>
        <w:rPr>
          <w:sz w:val="32"/>
          <w:szCs w:val="32"/>
        </w:rPr>
      </w:pPr>
      <w:r>
        <w:rPr>
          <w:b/>
          <w:sz w:val="32"/>
          <w:szCs w:val="32"/>
        </w:rPr>
        <w:t xml:space="preserve">Analytics and Reporting: </w:t>
      </w:r>
      <w:r>
        <w:rPr>
          <w:sz w:val="32"/>
          <w:szCs w:val="32"/>
        </w:rPr>
        <w:t xml:space="preserve">Using readily available </w:t>
      </w:r>
      <w:proofErr w:type="spellStart"/>
      <w:r>
        <w:rPr>
          <w:sz w:val="32"/>
          <w:szCs w:val="32"/>
        </w:rPr>
        <w:t>Hyperscaler</w:t>
      </w:r>
      <w:proofErr w:type="spellEnd"/>
      <w:r>
        <w:rPr>
          <w:sz w:val="32"/>
          <w:szCs w:val="32"/>
        </w:rPr>
        <w:t xml:space="preserve"> reporting tools the CSP/DSP can rapidly build dashboards and perform deep analytics on all aspects of their subscribers and associated </w:t>
      </w:r>
      <w:proofErr w:type="spellStart"/>
      <w:r>
        <w:rPr>
          <w:sz w:val="32"/>
          <w:szCs w:val="32"/>
        </w:rPr>
        <w:t>behaviours</w:t>
      </w:r>
      <w:proofErr w:type="spellEnd"/>
      <w:r>
        <w:rPr>
          <w:sz w:val="32"/>
          <w:szCs w:val="32"/>
        </w:rPr>
        <w:t xml:space="preserve">. </w:t>
      </w:r>
    </w:p>
    <w:p w14:paraId="00000025" w14:textId="77777777" w:rsidR="004E5B43" w:rsidRDefault="004E1B86">
      <w:pPr>
        <w:spacing w:line="276" w:lineRule="auto"/>
        <w:ind w:left="700"/>
        <w:jc w:val="both"/>
        <w:rPr>
          <w:sz w:val="32"/>
          <w:szCs w:val="32"/>
        </w:rPr>
      </w:pPr>
      <w:r>
        <w:rPr>
          <w:sz w:val="32"/>
          <w:szCs w:val="32"/>
        </w:rPr>
        <w:t xml:space="preserve"> </w:t>
      </w:r>
    </w:p>
    <w:p w14:paraId="00000026" w14:textId="77777777" w:rsidR="004E5B43" w:rsidRDefault="004E1B86">
      <w:pPr>
        <w:spacing w:line="276" w:lineRule="auto"/>
        <w:ind w:left="700"/>
        <w:jc w:val="both"/>
        <w:rPr>
          <w:sz w:val="32"/>
          <w:szCs w:val="32"/>
        </w:rPr>
      </w:pPr>
      <w:r>
        <w:rPr>
          <w:b/>
          <w:sz w:val="32"/>
          <w:szCs w:val="32"/>
        </w:rPr>
        <w:t>Public Cloud Architecture:</w:t>
      </w:r>
      <w:r>
        <w:rPr>
          <w:sz w:val="32"/>
          <w:szCs w:val="32"/>
        </w:rPr>
        <w:t xml:space="preserve"> By having the data on the public cloud the CSP/DSP automatically gains the pre-built advantages of backup and disaster recovery that are inherent in the </w:t>
      </w:r>
      <w:proofErr w:type="spellStart"/>
      <w:r>
        <w:rPr>
          <w:sz w:val="32"/>
          <w:szCs w:val="32"/>
        </w:rPr>
        <w:t>Hyperscaler</w:t>
      </w:r>
      <w:proofErr w:type="spellEnd"/>
      <w:r>
        <w:rPr>
          <w:sz w:val="32"/>
          <w:szCs w:val="32"/>
        </w:rPr>
        <w:t xml:space="preserve"> platforms.</w:t>
      </w:r>
    </w:p>
    <w:p w14:paraId="00000027" w14:textId="77777777" w:rsidR="004E5B43" w:rsidRDefault="004E5B43">
      <w:pPr>
        <w:spacing w:line="276" w:lineRule="auto"/>
        <w:ind w:left="700"/>
        <w:jc w:val="both"/>
        <w:rPr>
          <w:sz w:val="32"/>
          <w:szCs w:val="32"/>
        </w:rPr>
      </w:pPr>
    </w:p>
    <w:p w14:paraId="00000028" w14:textId="5053DA71" w:rsidR="004E5B43" w:rsidRDefault="004E1B86">
      <w:pPr>
        <w:spacing w:line="276" w:lineRule="auto"/>
        <w:ind w:left="700"/>
        <w:jc w:val="both"/>
        <w:rPr>
          <w:sz w:val="32"/>
          <w:szCs w:val="32"/>
        </w:rPr>
      </w:pPr>
      <w:r>
        <w:rPr>
          <w:b/>
          <w:sz w:val="32"/>
          <w:szCs w:val="32"/>
        </w:rPr>
        <w:t>Rapid Application Development:</w:t>
      </w:r>
      <w:r>
        <w:rPr>
          <w:sz w:val="32"/>
          <w:szCs w:val="32"/>
        </w:rPr>
        <w:t xml:space="preserve"> The CSP/DSP is now freed from vendor product roadmaps or internal development backlog that prevent solutions being delivered to meet immediate market need.  The </w:t>
      </w:r>
      <w:proofErr w:type="spellStart"/>
      <w:r>
        <w:rPr>
          <w:sz w:val="32"/>
          <w:szCs w:val="32"/>
        </w:rPr>
        <w:t>Totogi</w:t>
      </w:r>
      <w:proofErr w:type="spellEnd"/>
      <w:r>
        <w:rPr>
          <w:sz w:val="32"/>
          <w:szCs w:val="32"/>
        </w:rPr>
        <w:t xml:space="preserve"> BSS allows the CSP/DSP to solve problems rapidly, building applications with low-code/no code tools and developing solutions to the </w:t>
      </w:r>
      <w:r w:rsidR="008B4EDE">
        <w:rPr>
          <w:sz w:val="32"/>
          <w:szCs w:val="32"/>
        </w:rPr>
        <w:t>TM Forum</w:t>
      </w:r>
      <w:r>
        <w:rPr>
          <w:sz w:val="32"/>
          <w:szCs w:val="32"/>
        </w:rPr>
        <w:t xml:space="preserve"> open standards.</w:t>
      </w:r>
    </w:p>
    <w:p w14:paraId="00000029" w14:textId="577EDE7D" w:rsidR="00E76359" w:rsidRDefault="00E76359">
      <w:pPr>
        <w:rPr>
          <w:sz w:val="32"/>
          <w:szCs w:val="32"/>
        </w:rPr>
      </w:pPr>
      <w:r>
        <w:rPr>
          <w:sz w:val="32"/>
          <w:szCs w:val="32"/>
        </w:rPr>
        <w:br w:type="page"/>
      </w:r>
    </w:p>
    <w:p w14:paraId="0000002B" w14:textId="77777777" w:rsidR="004E5B43" w:rsidRDefault="004E1B86">
      <w:pPr>
        <w:numPr>
          <w:ilvl w:val="0"/>
          <w:numId w:val="2"/>
        </w:numPr>
        <w:pBdr>
          <w:top w:val="nil"/>
          <w:left w:val="nil"/>
          <w:bottom w:val="nil"/>
          <w:right w:val="nil"/>
          <w:between w:val="nil"/>
        </w:pBdr>
        <w:ind w:left="709" w:firstLine="0"/>
        <w:rPr>
          <w:b/>
          <w:color w:val="000000"/>
          <w:sz w:val="36"/>
          <w:szCs w:val="36"/>
        </w:rPr>
      </w:pPr>
      <w:r>
        <w:rPr>
          <w:b/>
          <w:color w:val="000000"/>
          <w:sz w:val="36"/>
          <w:szCs w:val="36"/>
        </w:rPr>
        <w:t>Overview of Certified API</w:t>
      </w:r>
    </w:p>
    <w:p w14:paraId="0000002C" w14:textId="77777777" w:rsidR="004E5B43" w:rsidRDefault="004E5B43">
      <w:pPr>
        <w:ind w:left="709"/>
        <w:rPr>
          <w:sz w:val="32"/>
          <w:szCs w:val="32"/>
        </w:rPr>
      </w:pPr>
      <w:bookmarkStart w:id="1" w:name="_heading=h.30j0zll" w:colFirst="0" w:colLast="0"/>
      <w:bookmarkEnd w:id="1"/>
    </w:p>
    <w:p w14:paraId="0000002D" w14:textId="77777777" w:rsidR="004E5B43" w:rsidRDefault="004E1B86">
      <w:pPr>
        <w:ind w:left="709"/>
        <w:rPr>
          <w:sz w:val="32"/>
          <w:szCs w:val="32"/>
        </w:rPr>
      </w:pPr>
      <w:bookmarkStart w:id="2" w:name="_heading=h.c57u0e2pzf6" w:colFirst="0" w:colLast="0"/>
      <w:bookmarkEnd w:id="2"/>
      <w:r>
        <w:rPr>
          <w:sz w:val="32"/>
          <w:szCs w:val="32"/>
        </w:rPr>
        <w:t xml:space="preserve">The </w:t>
      </w:r>
      <w:proofErr w:type="spellStart"/>
      <w:r>
        <w:rPr>
          <w:sz w:val="32"/>
          <w:szCs w:val="32"/>
        </w:rPr>
        <w:t>Totogi</w:t>
      </w:r>
      <w:proofErr w:type="spellEnd"/>
      <w:r>
        <w:rPr>
          <w:sz w:val="32"/>
          <w:szCs w:val="32"/>
        </w:rPr>
        <w:t xml:space="preserve"> BSS Party Management API is part of the core </w:t>
      </w:r>
      <w:proofErr w:type="spellStart"/>
      <w:r>
        <w:rPr>
          <w:sz w:val="32"/>
          <w:szCs w:val="32"/>
        </w:rPr>
        <w:t>Totogi</w:t>
      </w:r>
      <w:proofErr w:type="spellEnd"/>
      <w:r>
        <w:rPr>
          <w:sz w:val="32"/>
          <w:szCs w:val="32"/>
        </w:rPr>
        <w:t xml:space="preserve"> BSS APIs to indirectly support managing staff, accounts, subscribers and organizations. In this context, party refers to any individual or organization which has a business relationship with the consumer or business customers. The </w:t>
      </w:r>
      <w:proofErr w:type="spellStart"/>
      <w:r>
        <w:rPr>
          <w:sz w:val="32"/>
          <w:szCs w:val="32"/>
        </w:rPr>
        <w:t>Totogi</w:t>
      </w:r>
      <w:proofErr w:type="spellEnd"/>
      <w:r>
        <w:rPr>
          <w:sz w:val="32"/>
          <w:szCs w:val="32"/>
        </w:rPr>
        <w:t xml:space="preserve"> BSS Party Management API is compliant with TMF 632 specifications and offers API access to manage individuals and organizations through REST API calls.</w:t>
      </w:r>
    </w:p>
    <w:p w14:paraId="0000002E" w14:textId="77777777" w:rsidR="004E5B43" w:rsidRDefault="004E5B43">
      <w:pPr>
        <w:ind w:left="709"/>
        <w:rPr>
          <w:sz w:val="32"/>
          <w:szCs w:val="32"/>
        </w:rPr>
      </w:pPr>
      <w:bookmarkStart w:id="3" w:name="_heading=h.ta7vmb3j3bmx" w:colFirst="0" w:colLast="0"/>
      <w:bookmarkEnd w:id="3"/>
    </w:p>
    <w:tbl>
      <w:tblPr>
        <w:tblStyle w:val="a3"/>
        <w:tblW w:w="9214" w:type="dxa"/>
        <w:tblInd w:w="701" w:type="dxa"/>
        <w:tblBorders>
          <w:top w:val="nil"/>
          <w:left w:val="nil"/>
          <w:bottom w:val="nil"/>
          <w:right w:val="nil"/>
          <w:insideH w:val="nil"/>
          <w:insideV w:val="nil"/>
        </w:tblBorders>
        <w:tblLayout w:type="fixed"/>
        <w:tblLook w:val="0600" w:firstRow="0" w:lastRow="0" w:firstColumn="0" w:lastColumn="0" w:noHBand="1" w:noVBand="1"/>
      </w:tblPr>
      <w:tblGrid>
        <w:gridCol w:w="851"/>
        <w:gridCol w:w="1842"/>
        <w:gridCol w:w="4962"/>
        <w:gridCol w:w="1559"/>
      </w:tblGrid>
      <w:tr w:rsidR="004E5B43" w14:paraId="6C4C5BC0" w14:textId="77777777" w:rsidTr="009B6703">
        <w:trPr>
          <w:trHeight w:val="1100"/>
        </w:trPr>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2F" w14:textId="77777777" w:rsidR="004E5B43" w:rsidRDefault="004E1B86">
            <w:pPr>
              <w:spacing w:before="280" w:after="140" w:line="25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84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0" w14:textId="77777777" w:rsidR="004E5B43" w:rsidRDefault="004E1B86">
            <w:pPr>
              <w:spacing w:before="280" w:after="140" w:line="25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w:t>
            </w:r>
          </w:p>
        </w:tc>
        <w:tc>
          <w:tcPr>
            <w:tcW w:w="49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1" w14:textId="77777777" w:rsidR="004E5B43" w:rsidRDefault="004E1B86">
            <w:pPr>
              <w:spacing w:before="280" w:after="140" w:line="25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API Overview</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2" w14:textId="77777777" w:rsidR="004E5B43" w:rsidRDefault="004E1B86">
            <w:pPr>
              <w:spacing w:before="280" w:after="140" w:line="25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Operations Supported</w:t>
            </w:r>
          </w:p>
        </w:tc>
      </w:tr>
      <w:tr w:rsidR="004E5B43" w14:paraId="4868CCA3" w14:textId="77777777" w:rsidTr="009B6703">
        <w:trPr>
          <w:trHeight w:val="2315"/>
        </w:trPr>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3" w14:textId="77777777" w:rsidR="004E5B43" w:rsidRDefault="004E1B86">
            <w:pPr>
              <w:pBdr>
                <w:top w:val="nil"/>
                <w:left w:val="nil"/>
                <w:bottom w:val="nil"/>
                <w:right w:val="nil"/>
                <w:between w:val="nil"/>
              </w:pBdr>
              <w:rPr>
                <w:sz w:val="32"/>
                <w:szCs w:val="32"/>
              </w:rPr>
            </w:pPr>
            <w:bookmarkStart w:id="4" w:name="_heading=h.m9fiuxj70o6f" w:colFirst="0" w:colLast="0"/>
            <w:bookmarkEnd w:id="4"/>
            <w:r>
              <w:rPr>
                <w:sz w:val="32"/>
                <w:szCs w:val="32"/>
              </w:rPr>
              <w:t>1</w:t>
            </w:r>
          </w:p>
        </w:tc>
        <w:tc>
          <w:tcPr>
            <w:tcW w:w="184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4" w14:textId="77777777" w:rsidR="004E5B43" w:rsidRDefault="004E1B86">
            <w:pPr>
              <w:pBdr>
                <w:top w:val="nil"/>
                <w:left w:val="nil"/>
                <w:bottom w:val="nil"/>
                <w:right w:val="nil"/>
                <w:between w:val="nil"/>
              </w:pBdr>
              <w:rPr>
                <w:sz w:val="32"/>
                <w:szCs w:val="32"/>
              </w:rPr>
            </w:pPr>
            <w:bookmarkStart w:id="5" w:name="_heading=h.1gilwyqst7tu" w:colFirst="0" w:colLast="0"/>
            <w:bookmarkEnd w:id="5"/>
            <w:r>
              <w:rPr>
                <w:sz w:val="32"/>
                <w:szCs w:val="32"/>
              </w:rPr>
              <w:t>individual</w:t>
            </w:r>
          </w:p>
        </w:tc>
        <w:tc>
          <w:tcPr>
            <w:tcW w:w="49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5" w14:textId="77777777" w:rsidR="004E5B43" w:rsidRDefault="004E1B86">
            <w:pPr>
              <w:spacing w:before="280" w:after="140" w:line="250" w:lineRule="auto"/>
              <w:rPr>
                <w:sz w:val="32"/>
                <w:szCs w:val="32"/>
              </w:rPr>
            </w:pPr>
            <w:r>
              <w:rPr>
                <w:sz w:val="32"/>
                <w:szCs w:val="32"/>
              </w:rPr>
              <w:t>Individual represents a single human being (a man, woman or child). The individual can be a customer, an employee or any other person that the organization needs to store information about.</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6" w14:textId="77777777" w:rsidR="004E5B43" w:rsidRDefault="004E1B86" w:rsidP="00E76359">
            <w:pPr>
              <w:numPr>
                <w:ilvl w:val="0"/>
                <w:numId w:val="1"/>
              </w:numPr>
              <w:spacing w:before="240"/>
              <w:ind w:left="372" w:hanging="142"/>
              <w:rPr>
                <w:rFonts w:ascii="Arial" w:eastAsia="Arial" w:hAnsi="Arial" w:cs="Arial"/>
                <w:sz w:val="22"/>
                <w:szCs w:val="22"/>
              </w:rPr>
            </w:pPr>
            <w:r>
              <w:rPr>
                <w:rFonts w:ascii="Times New Roman" w:eastAsia="Times New Roman" w:hAnsi="Times New Roman" w:cs="Times New Roman"/>
                <w:sz w:val="24"/>
                <w:szCs w:val="24"/>
              </w:rPr>
              <w:t>GET</w:t>
            </w:r>
          </w:p>
          <w:p w14:paraId="00000037" w14:textId="77777777" w:rsidR="004E5B43" w:rsidRDefault="004E1B86" w:rsidP="00E76359">
            <w:pPr>
              <w:numPr>
                <w:ilvl w:val="0"/>
                <w:numId w:val="1"/>
              </w:numPr>
              <w:ind w:left="372" w:hanging="142"/>
              <w:rPr>
                <w:rFonts w:ascii="Arial" w:eastAsia="Arial" w:hAnsi="Arial" w:cs="Arial"/>
                <w:sz w:val="22"/>
                <w:szCs w:val="22"/>
              </w:rPr>
            </w:pPr>
            <w:r>
              <w:rPr>
                <w:rFonts w:ascii="Times New Roman" w:eastAsia="Times New Roman" w:hAnsi="Times New Roman" w:cs="Times New Roman"/>
                <w:sz w:val="24"/>
                <w:szCs w:val="24"/>
              </w:rPr>
              <w:t>PATCH</w:t>
            </w:r>
          </w:p>
          <w:p w14:paraId="00000038" w14:textId="77777777" w:rsidR="004E5B43" w:rsidRDefault="004E1B86" w:rsidP="00E76359">
            <w:pPr>
              <w:numPr>
                <w:ilvl w:val="0"/>
                <w:numId w:val="1"/>
              </w:numPr>
              <w:ind w:left="372" w:hanging="142"/>
              <w:rPr>
                <w:rFonts w:ascii="Arial" w:eastAsia="Arial" w:hAnsi="Arial" w:cs="Arial"/>
                <w:sz w:val="22"/>
                <w:szCs w:val="22"/>
              </w:rPr>
            </w:pPr>
            <w:r>
              <w:rPr>
                <w:rFonts w:ascii="Times New Roman" w:eastAsia="Times New Roman" w:hAnsi="Times New Roman" w:cs="Times New Roman"/>
                <w:sz w:val="24"/>
                <w:szCs w:val="24"/>
              </w:rPr>
              <w:t>POST</w:t>
            </w:r>
          </w:p>
          <w:p w14:paraId="00000039" w14:textId="77777777" w:rsidR="004E5B43" w:rsidRDefault="004E1B86" w:rsidP="00E76359">
            <w:pPr>
              <w:numPr>
                <w:ilvl w:val="0"/>
                <w:numId w:val="1"/>
              </w:numPr>
              <w:spacing w:after="240"/>
              <w:ind w:left="372" w:hanging="142"/>
              <w:rPr>
                <w:rFonts w:ascii="Arial" w:eastAsia="Arial" w:hAnsi="Arial" w:cs="Arial"/>
                <w:sz w:val="22"/>
                <w:szCs w:val="22"/>
              </w:rPr>
            </w:pPr>
            <w:r>
              <w:rPr>
                <w:rFonts w:ascii="Times New Roman" w:eastAsia="Times New Roman" w:hAnsi="Times New Roman" w:cs="Times New Roman"/>
                <w:sz w:val="24"/>
                <w:szCs w:val="24"/>
              </w:rPr>
              <w:t>DELETE</w:t>
            </w:r>
          </w:p>
        </w:tc>
      </w:tr>
      <w:tr w:rsidR="004E5B43" w14:paraId="777F54AA" w14:textId="77777777" w:rsidTr="009B6703">
        <w:trPr>
          <w:trHeight w:val="2315"/>
        </w:trPr>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A" w14:textId="77777777" w:rsidR="004E5B43" w:rsidRDefault="004E1B86">
            <w:pPr>
              <w:pBdr>
                <w:top w:val="nil"/>
                <w:left w:val="nil"/>
                <w:bottom w:val="nil"/>
                <w:right w:val="nil"/>
                <w:between w:val="nil"/>
              </w:pBdr>
              <w:rPr>
                <w:sz w:val="32"/>
                <w:szCs w:val="32"/>
              </w:rPr>
            </w:pPr>
            <w:bookmarkStart w:id="6" w:name="_heading=h.e1qw3ga79ydq" w:colFirst="0" w:colLast="0"/>
            <w:bookmarkEnd w:id="6"/>
            <w:r>
              <w:rPr>
                <w:sz w:val="32"/>
                <w:szCs w:val="32"/>
              </w:rPr>
              <w:t>2</w:t>
            </w:r>
          </w:p>
        </w:tc>
        <w:tc>
          <w:tcPr>
            <w:tcW w:w="184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B" w14:textId="77777777" w:rsidR="004E5B43" w:rsidRDefault="004E1B86">
            <w:pPr>
              <w:pBdr>
                <w:top w:val="nil"/>
                <w:left w:val="nil"/>
                <w:bottom w:val="nil"/>
                <w:right w:val="nil"/>
                <w:between w:val="nil"/>
              </w:pBdr>
              <w:rPr>
                <w:sz w:val="32"/>
                <w:szCs w:val="32"/>
              </w:rPr>
            </w:pPr>
            <w:bookmarkStart w:id="7" w:name="_heading=h.t5j6wc4ibk5" w:colFirst="0" w:colLast="0"/>
            <w:bookmarkEnd w:id="7"/>
            <w:r>
              <w:rPr>
                <w:sz w:val="32"/>
                <w:szCs w:val="32"/>
              </w:rPr>
              <w:t>organization</w:t>
            </w:r>
          </w:p>
        </w:tc>
        <w:tc>
          <w:tcPr>
            <w:tcW w:w="49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C" w14:textId="77777777" w:rsidR="004E5B43" w:rsidRDefault="004E1B86">
            <w:pPr>
              <w:spacing w:before="280" w:after="140" w:line="250" w:lineRule="auto"/>
              <w:rPr>
                <w:sz w:val="32"/>
                <w:szCs w:val="32"/>
              </w:rPr>
            </w:pPr>
            <w:r>
              <w:rPr>
                <w:sz w:val="32"/>
                <w:szCs w:val="32"/>
              </w:rPr>
              <w:t>Organization represents a group of people identified by shared interests or purpose. Examples include business, department and enterprise. Because of the complex nature of many businesses, both organizations and organization units are represented by the same data.</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D" w14:textId="77777777" w:rsidR="004E5B43" w:rsidRDefault="004E1B86" w:rsidP="00E76359">
            <w:pPr>
              <w:numPr>
                <w:ilvl w:val="0"/>
                <w:numId w:val="1"/>
              </w:numPr>
              <w:spacing w:before="240"/>
              <w:ind w:left="372" w:hanging="142"/>
              <w:rPr>
                <w:rFonts w:ascii="Arial" w:eastAsia="Arial" w:hAnsi="Arial" w:cs="Arial"/>
                <w:sz w:val="22"/>
                <w:szCs w:val="22"/>
              </w:rPr>
            </w:pPr>
            <w:r>
              <w:rPr>
                <w:rFonts w:ascii="Times New Roman" w:eastAsia="Times New Roman" w:hAnsi="Times New Roman" w:cs="Times New Roman"/>
                <w:sz w:val="24"/>
                <w:szCs w:val="24"/>
              </w:rPr>
              <w:t>GET</w:t>
            </w:r>
          </w:p>
          <w:p w14:paraId="0000003E" w14:textId="77777777" w:rsidR="004E5B43" w:rsidRDefault="004E1B86" w:rsidP="00E76359">
            <w:pPr>
              <w:numPr>
                <w:ilvl w:val="0"/>
                <w:numId w:val="1"/>
              </w:numPr>
              <w:ind w:left="372" w:hanging="142"/>
              <w:rPr>
                <w:rFonts w:ascii="Arial" w:eastAsia="Arial" w:hAnsi="Arial" w:cs="Arial"/>
                <w:sz w:val="22"/>
                <w:szCs w:val="22"/>
              </w:rPr>
            </w:pPr>
            <w:r>
              <w:rPr>
                <w:rFonts w:ascii="Times New Roman" w:eastAsia="Times New Roman" w:hAnsi="Times New Roman" w:cs="Times New Roman"/>
                <w:sz w:val="24"/>
                <w:szCs w:val="24"/>
              </w:rPr>
              <w:t>PATCH</w:t>
            </w:r>
          </w:p>
          <w:p w14:paraId="0000003F" w14:textId="77777777" w:rsidR="004E5B43" w:rsidRDefault="004E1B86" w:rsidP="00E76359">
            <w:pPr>
              <w:numPr>
                <w:ilvl w:val="0"/>
                <w:numId w:val="1"/>
              </w:numPr>
              <w:ind w:left="372" w:hanging="142"/>
              <w:rPr>
                <w:rFonts w:ascii="Arial" w:eastAsia="Arial" w:hAnsi="Arial" w:cs="Arial"/>
                <w:sz w:val="22"/>
                <w:szCs w:val="22"/>
              </w:rPr>
            </w:pPr>
            <w:r>
              <w:rPr>
                <w:rFonts w:ascii="Times New Roman" w:eastAsia="Times New Roman" w:hAnsi="Times New Roman" w:cs="Times New Roman"/>
                <w:sz w:val="24"/>
                <w:szCs w:val="24"/>
              </w:rPr>
              <w:t>POST</w:t>
            </w:r>
          </w:p>
          <w:p w14:paraId="00000040" w14:textId="77777777" w:rsidR="004E5B43" w:rsidRDefault="004E1B86" w:rsidP="00E76359">
            <w:pPr>
              <w:numPr>
                <w:ilvl w:val="0"/>
                <w:numId w:val="1"/>
              </w:numPr>
              <w:spacing w:after="240"/>
              <w:ind w:left="372" w:hanging="142"/>
              <w:rPr>
                <w:rFonts w:ascii="Arial" w:eastAsia="Arial" w:hAnsi="Arial" w:cs="Arial"/>
                <w:sz w:val="22"/>
                <w:szCs w:val="22"/>
              </w:rPr>
            </w:pPr>
            <w:r>
              <w:rPr>
                <w:rFonts w:ascii="Times New Roman" w:eastAsia="Times New Roman" w:hAnsi="Times New Roman" w:cs="Times New Roman"/>
                <w:sz w:val="24"/>
                <w:szCs w:val="24"/>
              </w:rPr>
              <w:t>DELETE</w:t>
            </w:r>
          </w:p>
        </w:tc>
      </w:tr>
    </w:tbl>
    <w:p w14:paraId="00000045" w14:textId="77777777" w:rsidR="004E5B43" w:rsidRDefault="004E1B86">
      <w:pPr>
        <w:numPr>
          <w:ilvl w:val="0"/>
          <w:numId w:val="2"/>
        </w:numPr>
        <w:pBdr>
          <w:top w:val="nil"/>
          <w:left w:val="nil"/>
          <w:bottom w:val="nil"/>
          <w:right w:val="nil"/>
          <w:between w:val="nil"/>
        </w:pBdr>
        <w:ind w:left="709" w:firstLine="0"/>
        <w:rPr>
          <w:b/>
          <w:color w:val="000000"/>
          <w:sz w:val="36"/>
          <w:szCs w:val="36"/>
        </w:rPr>
      </w:pPr>
      <w:r>
        <w:rPr>
          <w:b/>
          <w:color w:val="000000"/>
          <w:sz w:val="36"/>
          <w:szCs w:val="36"/>
        </w:rPr>
        <w:t>Architectural View</w:t>
      </w:r>
    </w:p>
    <w:p w14:paraId="00000046" w14:textId="77777777" w:rsidR="004E5B43" w:rsidRDefault="004E1B86">
      <w:pPr>
        <w:ind w:left="709"/>
        <w:rPr>
          <w:sz w:val="32"/>
          <w:szCs w:val="32"/>
        </w:rPr>
      </w:pPr>
      <w:r>
        <w:rPr>
          <w:noProof/>
          <w:sz w:val="32"/>
          <w:szCs w:val="32"/>
        </w:rPr>
        <w:drawing>
          <wp:inline distT="114300" distB="114300" distL="114300" distR="114300">
            <wp:extent cx="5729047" cy="6954838"/>
            <wp:effectExtent l="0" t="0" r="0" b="0"/>
            <wp:docPr id="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29047" cy="6954838"/>
                    </a:xfrm>
                    <a:prstGeom prst="rect">
                      <a:avLst/>
                    </a:prstGeom>
                    <a:ln/>
                  </pic:spPr>
                </pic:pic>
              </a:graphicData>
            </a:graphic>
          </wp:inline>
        </w:drawing>
      </w:r>
    </w:p>
    <w:p w14:paraId="00000047" w14:textId="67694E8F" w:rsidR="00E76359" w:rsidRDefault="00E76359">
      <w:pPr>
        <w:rPr>
          <w:sz w:val="32"/>
          <w:szCs w:val="32"/>
        </w:rPr>
      </w:pPr>
      <w:r>
        <w:rPr>
          <w:sz w:val="32"/>
          <w:szCs w:val="32"/>
        </w:rPr>
        <w:br w:type="page"/>
      </w:r>
    </w:p>
    <w:p w14:paraId="00000049" w14:textId="77777777" w:rsidR="004E5B43" w:rsidRDefault="004E1B86">
      <w:pPr>
        <w:numPr>
          <w:ilvl w:val="0"/>
          <w:numId w:val="2"/>
        </w:numPr>
        <w:pBdr>
          <w:top w:val="nil"/>
          <w:left w:val="nil"/>
          <w:bottom w:val="nil"/>
          <w:right w:val="nil"/>
          <w:between w:val="nil"/>
        </w:pBdr>
        <w:ind w:left="709" w:firstLine="0"/>
        <w:rPr>
          <w:b/>
          <w:color w:val="000000"/>
          <w:sz w:val="36"/>
          <w:szCs w:val="36"/>
        </w:rPr>
      </w:pPr>
      <w:r>
        <w:rPr>
          <w:b/>
          <w:color w:val="000000"/>
          <w:sz w:val="36"/>
          <w:szCs w:val="36"/>
        </w:rPr>
        <w:t>Test Results</w:t>
      </w:r>
    </w:p>
    <w:p w14:paraId="0000004A" w14:textId="77777777" w:rsidR="004E5B43" w:rsidRDefault="004E5B43">
      <w:pPr>
        <w:ind w:left="709"/>
        <w:jc w:val="center"/>
        <w:rPr>
          <w:sz w:val="32"/>
          <w:szCs w:val="32"/>
        </w:rPr>
      </w:pPr>
    </w:p>
    <w:p w14:paraId="0000004B" w14:textId="22DF9B28" w:rsidR="004E5B43" w:rsidRDefault="009B6703">
      <w:pPr>
        <w:ind w:left="709"/>
        <w:jc w:val="center"/>
        <w:rPr>
          <w:sz w:val="32"/>
          <w:szCs w:val="32"/>
        </w:rPr>
      </w:pPr>
      <w:r>
        <w:rPr>
          <w:sz w:val="32"/>
          <w:szCs w:val="32"/>
        </w:rPr>
        <w:object w:dxaOrig="1531" w:dyaOrig="994" w14:anchorId="0800B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7pt" o:ole="">
            <v:imagedata r:id="rId9" o:title=""/>
          </v:shape>
          <o:OLEObject Type="Embed" ProgID="Package" ShapeID="_x0000_i1025" DrawAspect="Icon" ObjectID="_1684652327" r:id="rId10"/>
        </w:object>
      </w:r>
    </w:p>
    <w:sectPr w:rsidR="004E5B43" w:rsidSect="009B6703">
      <w:headerReference w:type="default" r:id="rId11"/>
      <w:footerReference w:type="default" r:id="rId12"/>
      <w:headerReference w:type="first" r:id="rId13"/>
      <w:pgSz w:w="12240" w:h="15840"/>
      <w:pgMar w:top="2083" w:right="1080" w:bottom="1440" w:left="1080" w:header="0" w:footer="18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51DF" w14:textId="77777777" w:rsidR="005202EA" w:rsidRDefault="005202EA">
      <w:r>
        <w:separator/>
      </w:r>
    </w:p>
  </w:endnote>
  <w:endnote w:type="continuationSeparator" w:id="0">
    <w:p w14:paraId="09E214AA" w14:textId="77777777" w:rsidR="005202EA" w:rsidRDefault="0052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Lato Light">
    <w:panose1 w:val="00000000000000000000"/>
    <w:charset w:val="00"/>
    <w:family w:val="roman"/>
    <w:notTrueType/>
    <w:pitch w:val="default"/>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25EF5334" w:rsidR="004E5B43" w:rsidRDefault="00E76359" w:rsidP="00E76359">
    <w:pPr>
      <w:pBdr>
        <w:top w:val="nil"/>
        <w:left w:val="nil"/>
        <w:bottom w:val="nil"/>
        <w:right w:val="nil"/>
        <w:between w:val="nil"/>
      </w:pBdr>
      <w:tabs>
        <w:tab w:val="left" w:pos="567"/>
        <w:tab w:val="center" w:pos="4153"/>
        <w:tab w:val="right" w:pos="8306"/>
        <w:tab w:val="left" w:pos="993"/>
      </w:tabs>
      <w:ind w:left="-993"/>
      <w:rPr>
        <w:color w:val="262626"/>
      </w:rPr>
    </w:pPr>
    <w:r>
      <w:rPr>
        <w:color w:val="262626"/>
      </w:rPr>
      <w:tab/>
    </w:r>
    <w:r w:rsidR="004E1B86">
      <w:rPr>
        <w:color w:val="262626"/>
      </w:rPr>
      <w:t xml:space="preserve">© TM Forum 2021. All Rights Reserved. </w:t>
    </w:r>
    <w:r w:rsidR="004E1B86">
      <w:rPr>
        <w:color w:val="262626"/>
      </w:rPr>
      <w:tab/>
    </w:r>
    <w:r w:rsidR="004E1B86">
      <w:rPr>
        <w:color w:val="262626"/>
      </w:rPr>
      <w:tab/>
    </w:r>
    <w:r w:rsidR="004E1B86">
      <w:rPr>
        <w:color w:val="262626"/>
      </w:rPr>
      <w:tab/>
      <w:t xml:space="preserve">Page </w:t>
    </w:r>
    <w:r w:rsidR="004E1B86">
      <w:rPr>
        <w:rFonts w:ascii="Arial" w:eastAsia="Arial" w:hAnsi="Arial" w:cs="Arial"/>
        <w:i/>
        <w:color w:val="262626"/>
        <w:sz w:val="18"/>
        <w:szCs w:val="18"/>
      </w:rPr>
      <w:fldChar w:fldCharType="begin"/>
    </w:r>
    <w:r w:rsidR="004E1B86">
      <w:rPr>
        <w:rFonts w:ascii="Arial" w:eastAsia="Arial" w:hAnsi="Arial" w:cs="Arial"/>
        <w:i/>
        <w:color w:val="262626"/>
        <w:sz w:val="18"/>
        <w:szCs w:val="18"/>
      </w:rPr>
      <w:instrText>PAGE</w:instrText>
    </w:r>
    <w:r w:rsidR="004E1B86">
      <w:rPr>
        <w:rFonts w:ascii="Arial" w:eastAsia="Arial" w:hAnsi="Arial" w:cs="Arial"/>
        <w:i/>
        <w:color w:val="262626"/>
        <w:sz w:val="18"/>
        <w:szCs w:val="18"/>
      </w:rPr>
      <w:fldChar w:fldCharType="separate"/>
    </w:r>
    <w:r>
      <w:rPr>
        <w:rFonts w:ascii="Arial" w:eastAsia="Arial" w:hAnsi="Arial" w:cs="Arial"/>
        <w:i/>
        <w:noProof/>
        <w:color w:val="262626"/>
        <w:sz w:val="18"/>
        <w:szCs w:val="18"/>
      </w:rPr>
      <w:t>1</w:t>
    </w:r>
    <w:r w:rsidR="004E1B86">
      <w:rPr>
        <w:rFonts w:ascii="Arial" w:eastAsia="Arial" w:hAnsi="Arial" w:cs="Arial"/>
        <w:i/>
        <w:color w:val="262626"/>
        <w:sz w:val="18"/>
        <w:szCs w:val="18"/>
      </w:rPr>
      <w:fldChar w:fldCharType="end"/>
    </w:r>
    <w:r w:rsidR="004E1B86">
      <w:rPr>
        <w:rFonts w:ascii="Arial" w:eastAsia="Arial" w:hAnsi="Arial" w:cs="Arial"/>
        <w:i/>
        <w:color w:val="262626"/>
        <w:sz w:val="18"/>
        <w:szCs w:val="18"/>
      </w:rPr>
      <w:t xml:space="preserve"> of </w:t>
    </w:r>
    <w:r w:rsidR="004E1B86">
      <w:rPr>
        <w:rFonts w:ascii="Arial" w:eastAsia="Arial" w:hAnsi="Arial" w:cs="Arial"/>
        <w:i/>
        <w:color w:val="262626"/>
        <w:sz w:val="18"/>
        <w:szCs w:val="18"/>
      </w:rPr>
      <w:fldChar w:fldCharType="begin"/>
    </w:r>
    <w:r w:rsidR="004E1B86">
      <w:rPr>
        <w:rFonts w:ascii="Arial" w:eastAsia="Arial" w:hAnsi="Arial" w:cs="Arial"/>
        <w:i/>
        <w:color w:val="262626"/>
        <w:sz w:val="18"/>
        <w:szCs w:val="18"/>
      </w:rPr>
      <w:instrText>NUMPAGES</w:instrText>
    </w:r>
    <w:r w:rsidR="004E1B86">
      <w:rPr>
        <w:rFonts w:ascii="Arial" w:eastAsia="Arial" w:hAnsi="Arial" w:cs="Arial"/>
        <w:i/>
        <w:color w:val="262626"/>
        <w:sz w:val="18"/>
        <w:szCs w:val="18"/>
      </w:rPr>
      <w:fldChar w:fldCharType="separate"/>
    </w:r>
    <w:r>
      <w:rPr>
        <w:rFonts w:ascii="Arial" w:eastAsia="Arial" w:hAnsi="Arial" w:cs="Arial"/>
        <w:i/>
        <w:noProof/>
        <w:color w:val="262626"/>
        <w:sz w:val="18"/>
        <w:szCs w:val="18"/>
      </w:rPr>
      <w:t>3</w:t>
    </w:r>
    <w:r w:rsidR="004E1B86">
      <w:rPr>
        <w:rFonts w:ascii="Arial" w:eastAsia="Arial" w:hAnsi="Arial" w:cs="Arial"/>
        <w:i/>
        <w:color w:val="262626"/>
        <w:sz w:val="18"/>
        <w:szCs w:val="18"/>
      </w:rPr>
      <w:fldChar w:fldCharType="end"/>
    </w:r>
  </w:p>
  <w:p w14:paraId="00000052" w14:textId="77777777" w:rsidR="004E5B43" w:rsidRDefault="004E5B43">
    <w:pPr>
      <w:pBdr>
        <w:top w:val="nil"/>
        <w:left w:val="nil"/>
        <w:bottom w:val="nil"/>
        <w:right w:val="nil"/>
        <w:between w:val="nil"/>
      </w:pBdr>
      <w:tabs>
        <w:tab w:val="center" w:pos="4153"/>
        <w:tab w:val="right" w:pos="8306"/>
      </w:tabs>
      <w:ind w:left="-567" w:right="-56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8469" w14:textId="77777777" w:rsidR="005202EA" w:rsidRDefault="005202EA">
      <w:r>
        <w:separator/>
      </w:r>
    </w:p>
  </w:footnote>
  <w:footnote w:type="continuationSeparator" w:id="0">
    <w:p w14:paraId="179CF3F1" w14:textId="77777777" w:rsidR="005202EA" w:rsidRDefault="00520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1252A6EF" w:rsidR="004E5B43" w:rsidRDefault="004E1B86" w:rsidP="009B6703">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8240" behindDoc="0" locked="0" layoutInCell="1" hidden="0" allowOverlap="1" wp14:editId="294CC2A0">
          <wp:simplePos x="0" y="0"/>
          <wp:positionH relativeFrom="margin">
            <wp:posOffset>-695325</wp:posOffset>
          </wp:positionH>
          <wp:positionV relativeFrom="paragraph">
            <wp:posOffset>0</wp:posOffset>
          </wp:positionV>
          <wp:extent cx="7781925" cy="673100"/>
          <wp:effectExtent l="0" t="0" r="9525" b="0"/>
          <wp:wrapSquare wrapText="bothSides" distT="0" distB="0" distL="0" distR="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81925" cy="673100"/>
                  </a:xfrm>
                  <a:prstGeom prst="rect">
                    <a:avLst/>
                  </a:prstGeom>
                  <a:ln/>
                </pic:spPr>
              </pic:pic>
            </a:graphicData>
          </a:graphic>
          <wp14:sizeRelH relativeFrom="margin">
            <wp14:pctWidth>0</wp14:pctWidth>
          </wp14:sizeRelH>
        </wp:anchor>
      </w:drawing>
    </w:r>
    <w:r>
      <w:rPr>
        <w:color w:val="000000"/>
      </w:rPr>
      <w:t>TM Forum Open APIs</w:t>
    </w:r>
  </w:p>
  <w:p w14:paraId="00000050" w14:textId="77777777" w:rsidR="004E5B43" w:rsidRDefault="004E1B86">
    <w:pPr>
      <w:pBdr>
        <w:top w:val="nil"/>
        <w:left w:val="nil"/>
        <w:bottom w:val="nil"/>
        <w:right w:val="nil"/>
        <w:between w:val="nil"/>
      </w:pBdr>
      <w:tabs>
        <w:tab w:val="center" w:pos="4153"/>
        <w:tab w:val="right" w:pos="8306"/>
      </w:tabs>
      <w:ind w:right="-567"/>
      <w:rPr>
        <w:color w:val="000000"/>
      </w:rPr>
    </w:pPr>
    <w:r>
      <w:rPr>
        <w:color w:val="000000"/>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4E5B43" w:rsidRDefault="004E1B86">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9264" behindDoc="0" locked="0" layoutInCell="1" hidden="0" allowOverlap="1" wp14:editId="2069B508">
          <wp:simplePos x="0" y="0"/>
          <wp:positionH relativeFrom="column">
            <wp:posOffset>5104765</wp:posOffset>
          </wp:positionH>
          <wp:positionV relativeFrom="paragraph">
            <wp:posOffset>248920</wp:posOffset>
          </wp:positionV>
          <wp:extent cx="1617558" cy="359037"/>
          <wp:effectExtent l="0" t="0" r="0" b="0"/>
          <wp:wrapSquare wrapText="bothSides" distT="0" distB="0" distL="0" distR="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17558" cy="35903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D5427"/>
    <w:multiLevelType w:val="multilevel"/>
    <w:tmpl w:val="31D634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7DE5E49"/>
    <w:multiLevelType w:val="multilevel"/>
    <w:tmpl w:val="D6DC6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43"/>
    <w:rsid w:val="003A162C"/>
    <w:rsid w:val="004E1B86"/>
    <w:rsid w:val="004E5B43"/>
    <w:rsid w:val="005202EA"/>
    <w:rsid w:val="008B4EDE"/>
    <w:rsid w:val="009B6703"/>
    <w:rsid w:val="00E7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F702D"/>
  <w15:docId w15:val="{A62F3962-F821-44AC-92BC-99FD61E9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semiHidden/>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semiHidden/>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styleId="Strong">
    <w:name w:val="Strong"/>
    <w:basedOn w:val="DefaultParagraphFont"/>
    <w:uiPriority w:val="22"/>
    <w:qFormat/>
    <w:rsid w:val="00565176"/>
    <w:rPr>
      <w:b/>
      <w:bCs/>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Pr>
      <w:color w:val="DD0031"/>
      <w:sz w:val="24"/>
      <w:szCs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aS3PVgOXjxxBCEGiAAf3ajF07Q==">AMUW2mVrAcWLyyEdo/b6FgtY0aABiswa78d51QNvdppzI7qsaPdmVa83g5O4KCSUL0vTxFO3KXRSxjEuoFoqP4yxkSQjYzsjb5nHmP8b85UZZ6f0YniXIMzBzWe22fVmO+mRJAFF8ENX3hJNTzlKypLZ2qeluh8ik1F9pbfAgPvb06DPdtinjGajwAZjifaZlKvzhJ/nP+lAgku+/OFkUyXcebfjB1A9C1wfm3ImlLrLjY15iO7Coa8eZxySicRdwaQRKQUkYV+6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Iberia Medrano</dc:creator>
  <cp:lastModifiedBy>TMF-AAD</cp:lastModifiedBy>
  <cp:revision>3</cp:revision>
  <dcterms:created xsi:type="dcterms:W3CDTF">2021-06-07T15:07:00Z</dcterms:created>
  <dcterms:modified xsi:type="dcterms:W3CDTF">2021-06-08T08:12:00Z</dcterms:modified>
</cp:coreProperties>
</file>