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0FCB" w:rsidRDefault="00434E00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0000002" w14:textId="77777777" w:rsidR="003A0FCB" w:rsidRDefault="00434E00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0000003" w14:textId="77777777" w:rsidR="003A0FCB" w:rsidRDefault="003A0FCB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000004" w14:textId="77777777" w:rsidR="003A0FCB" w:rsidRDefault="00434E00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00000005" w14:textId="77777777" w:rsidR="003A0FCB" w:rsidRDefault="003A0FCB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19D97F02" w14:textId="77777777" w:rsidR="00093C6A" w:rsidRDefault="00434E00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00000006" w14:textId="47EA34E3" w:rsidR="003A0FCB" w:rsidRDefault="00434E00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Account Management API TMF666</w:t>
      </w:r>
    </w:p>
    <w:p w14:paraId="00000007" w14:textId="77777777" w:rsidR="003A0FCB" w:rsidRDefault="003A0FCB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8" w14:textId="0985426A" w:rsidR="003A0FCB" w:rsidRDefault="00434E00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093C6A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00000009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A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B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C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D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E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F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0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1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2" w14:textId="77777777" w:rsidR="003A0FCB" w:rsidRDefault="003A0FC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3" w14:textId="77777777" w:rsidR="003A0FCB" w:rsidRDefault="00434E00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3rd June 2021</w:t>
      </w:r>
      <w:r>
        <w:br w:type="page"/>
      </w:r>
    </w:p>
    <w:p w14:paraId="00000014" w14:textId="77777777" w:rsidR="003A0FCB" w:rsidRDefault="00434E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00000015" w14:textId="77777777" w:rsidR="003A0FCB" w:rsidRDefault="003A0FCB">
      <w:pPr>
        <w:spacing w:line="276" w:lineRule="auto"/>
        <w:ind w:left="700"/>
        <w:jc w:val="both"/>
        <w:rPr>
          <w:sz w:val="32"/>
          <w:szCs w:val="32"/>
        </w:rPr>
      </w:pPr>
    </w:p>
    <w:p w14:paraId="00000016" w14:textId="3DA2CBFB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Account Management API TMF666 within its first deployment of the </w:t>
      </w:r>
      <w:r w:rsidR="00093C6A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APIs. </w:t>
      </w:r>
      <w:r>
        <w:rPr>
          <w:sz w:val="32"/>
          <w:szCs w:val="32"/>
        </w:rPr>
        <w:t>With this deployment Totogi BSS enables standardized mechanisms for the wider management of billing and settlement accounts</w:t>
      </w:r>
      <w:r>
        <w:rPr>
          <w:sz w:val="32"/>
          <w:szCs w:val="32"/>
        </w:rPr>
        <w:t>, as well as for financial accounting (account</w:t>
      </w:r>
      <w:r w:rsidR="00093C6A">
        <w:rPr>
          <w:sz w:val="32"/>
          <w:szCs w:val="32"/>
        </w:rPr>
        <w:t>s</w:t>
      </w:r>
      <w:r>
        <w:rPr>
          <w:sz w:val="32"/>
          <w:szCs w:val="32"/>
        </w:rPr>
        <w:t xml:space="preserve"> receivable) either in B2B or B2B2C contexts, across the Totogi family of products.</w:t>
      </w:r>
    </w:p>
    <w:p w14:paraId="00000017" w14:textId="7777777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8" w14:textId="7532EC5E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</w:t>
      </w:r>
      <w:r>
        <w:rPr>
          <w:sz w:val="32"/>
          <w:szCs w:val="32"/>
        </w:rPr>
        <w:t>Every new service or product that is delivered to the market requires change to a vast number of systems.</w:t>
      </w:r>
      <w:r>
        <w:rPr>
          <w:sz w:val="32"/>
          <w:szCs w:val="32"/>
        </w:rPr>
        <w:t xml:space="preserve"> Launch times lag the market need and revenue opportunities are lost.</w:t>
      </w:r>
    </w:p>
    <w:p w14:paraId="00000019" w14:textId="7777777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A" w14:textId="29784383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retain customers and excite those customers int</w:t>
      </w:r>
      <w:r>
        <w:rPr>
          <w:sz w:val="32"/>
          <w:szCs w:val="32"/>
        </w:rPr>
        <w:t xml:space="preserve">o buying more services. </w:t>
      </w:r>
      <w:r>
        <w:rPr>
          <w:sz w:val="32"/>
          <w:szCs w:val="32"/>
        </w:rPr>
        <w:t xml:space="preserve">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000001B" w14:textId="7777777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C" w14:textId="77777777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the range of services are extended </w:t>
      </w:r>
      <w:r>
        <w:rPr>
          <w:sz w:val="32"/>
          <w:szCs w:val="32"/>
        </w:rPr>
        <w:t>the CSP is forced to upgrade or change existing systems, processes and channels while adding new, complementary platforms to evolve to a Digital Services Provider (DSP).</w:t>
      </w:r>
    </w:p>
    <w:p w14:paraId="0000001D" w14:textId="7777777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E" w14:textId="560C4204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DSP model the Totogi product suite leverages the power</w:t>
      </w:r>
      <w:r>
        <w:rPr>
          <w:sz w:val="32"/>
          <w:szCs w:val="32"/>
        </w:rPr>
        <w:t xml:space="preserve"> of the public cloud. </w:t>
      </w:r>
      <w:r>
        <w:rPr>
          <w:sz w:val="32"/>
          <w:szCs w:val="32"/>
        </w:rPr>
        <w:t xml:space="preserve">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</w:t>
      </w:r>
      <w:r>
        <w:rPr>
          <w:sz w:val="32"/>
          <w:szCs w:val="32"/>
        </w:rPr>
        <w:t xml:space="preserve">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</w:t>
      </w:r>
    </w:p>
    <w:p w14:paraId="0000001F" w14:textId="1667EED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0" w14:textId="2F4D6BB8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Totogi BSS is t</w:t>
      </w:r>
      <w:r>
        <w:rPr>
          <w:sz w:val="32"/>
          <w:szCs w:val="32"/>
        </w:rPr>
        <w:t>he public cloud based platform that enables a CSP to drive its evolution to becoming a DSP.</w:t>
      </w:r>
      <w:r>
        <w:rPr>
          <w:sz w:val="32"/>
          <w:szCs w:val="32"/>
        </w:rPr>
        <w:t xml:space="preserve"> As it evolves it will incorporate all the </w:t>
      </w:r>
      <w:r w:rsidR="00093C6A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and enable the CSP/DSP to deliver new services by building applications in low-code/no-code tools that use t</w:t>
      </w:r>
      <w:r>
        <w:rPr>
          <w:sz w:val="32"/>
          <w:szCs w:val="32"/>
        </w:rPr>
        <w:t>he instantiated APIs.</w:t>
      </w:r>
    </w:p>
    <w:p w14:paraId="00000021" w14:textId="7777777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2" w14:textId="482A4AA2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r w:rsidR="00093C6A">
        <w:rPr>
          <w:sz w:val="32"/>
          <w:szCs w:val="32"/>
        </w:rPr>
        <w:t>TM Forum</w:t>
      </w:r>
      <w:r>
        <w:rPr>
          <w:sz w:val="32"/>
          <w:szCs w:val="32"/>
        </w:rPr>
        <w:t xml:space="preserve"> compliant data structure.</w:t>
      </w:r>
      <w:r>
        <w:rPr>
          <w:sz w:val="32"/>
          <w:szCs w:val="32"/>
        </w:rPr>
        <w:t xml:space="preserve"> This makes the data available via the public cloud and enables any tool to access information through the API mechanism.</w:t>
      </w:r>
    </w:p>
    <w:p w14:paraId="00000023" w14:textId="197E0C0F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4" w14:textId="13A161CF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>Us</w:t>
      </w:r>
      <w:r>
        <w:rPr>
          <w:sz w:val="32"/>
          <w:szCs w:val="32"/>
        </w:rPr>
        <w:t xml:space="preserve">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>.</w:t>
      </w:r>
    </w:p>
    <w:p w14:paraId="00000025" w14:textId="31320B2E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6" w14:textId="77777777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automatically gain the advantages</w:t>
      </w:r>
      <w:r>
        <w:rPr>
          <w:sz w:val="32"/>
          <w:szCs w:val="32"/>
        </w:rPr>
        <w:t xml:space="preserve">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0000027" w14:textId="77777777" w:rsidR="003A0FCB" w:rsidRDefault="003A0FC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8" w14:textId="67E3BA67" w:rsidR="003A0FCB" w:rsidRDefault="00434E00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</w:t>
      </w:r>
      <w:r>
        <w:rPr>
          <w:sz w:val="32"/>
          <w:szCs w:val="32"/>
        </w:rPr>
        <w:t xml:space="preserve">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0000002F" w14:textId="77777777" w:rsidR="003A0FCB" w:rsidRDefault="00434E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203B1A2D" w14:textId="77777777" w:rsidR="00093C6A" w:rsidRDefault="00093C6A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</w:p>
    <w:p w14:paraId="00000030" w14:textId="2672E154" w:rsidR="003A0FCB" w:rsidRDefault="00434E00">
      <w:pPr>
        <w:ind w:left="709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Account Management API is functionality in the core Totogi BSS APIs to manage various types of accounts like </w:t>
      </w:r>
      <w:proofErr w:type="spellStart"/>
      <w:r>
        <w:rPr>
          <w:sz w:val="32"/>
          <w:szCs w:val="32"/>
        </w:rPr>
        <w:t>partyAccount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billingAccount</w:t>
      </w:r>
      <w:proofErr w:type="spellEnd"/>
      <w:r>
        <w:rPr>
          <w:sz w:val="32"/>
          <w:szCs w:val="32"/>
        </w:rPr>
        <w:t xml:space="preserve"> etc., as well as </w:t>
      </w:r>
      <w:proofErr w:type="spellStart"/>
      <w:r>
        <w:rPr>
          <w:sz w:val="32"/>
          <w:szCs w:val="32"/>
        </w:rPr>
        <w:t>billingCycleSpecificati</w:t>
      </w:r>
      <w:r>
        <w:rPr>
          <w:sz w:val="32"/>
          <w:szCs w:val="32"/>
        </w:rPr>
        <w:t>on</w:t>
      </w:r>
      <w:proofErr w:type="spellEnd"/>
      <w:r>
        <w:rPr>
          <w:sz w:val="32"/>
          <w:szCs w:val="32"/>
        </w:rPr>
        <w:t xml:space="preserve">, format and </w:t>
      </w:r>
      <w:proofErr w:type="spellStart"/>
      <w:r>
        <w:rPr>
          <w:sz w:val="32"/>
          <w:szCs w:val="32"/>
        </w:rPr>
        <w:t>presentationMedia</w:t>
      </w:r>
      <w:proofErr w:type="spellEnd"/>
      <w:r>
        <w:rPr>
          <w:sz w:val="32"/>
          <w:szCs w:val="32"/>
        </w:rPr>
        <w:t>. In this context, account refers to any account of an individual or organization which has a business relationship with the consumer or business customers. The Totogi BSS Account Management API is compliant with TMF 666 spe</w:t>
      </w:r>
      <w:r>
        <w:rPr>
          <w:sz w:val="32"/>
          <w:szCs w:val="32"/>
        </w:rPr>
        <w:t>cifications and offers API access to creation, update and retrieval of account information either in a B2B2C relationship context (creation of mass market customer billing account within a “Billing on Behalf of” process for example) or in a B2B context (cr</w:t>
      </w:r>
      <w:r>
        <w:rPr>
          <w:sz w:val="32"/>
          <w:szCs w:val="32"/>
        </w:rPr>
        <w:t xml:space="preserve">eation of a billing/settlement account for a partner or B2B customer). It also allows creation and query of bill items allowing partners or B2B customers to check their invoice(s). </w:t>
      </w:r>
    </w:p>
    <w:p w14:paraId="00000031" w14:textId="77777777" w:rsidR="003A0FCB" w:rsidRDefault="003A0FCB">
      <w:pPr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6"/>
        <w:tblW w:w="9497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068"/>
        <w:gridCol w:w="4310"/>
        <w:gridCol w:w="2268"/>
      </w:tblGrid>
      <w:tr w:rsidR="003A0FCB" w14:paraId="1A645993" w14:textId="77777777" w:rsidTr="00093C6A">
        <w:trPr>
          <w:trHeight w:val="11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3A0FCB" w:rsidRDefault="00434E00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3A0FCB" w:rsidRDefault="00434E00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3A0FCB" w:rsidRDefault="00434E00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3A0FCB" w:rsidRDefault="00434E00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3A0FCB" w14:paraId="16CD0DDC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partyAccount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Account used for billing or for settlement purposes concerning a given party (an organization or an individual). It is a specialization of entity Account.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A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B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C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3A0FCB" w14:paraId="53995FE7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billingAccount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 xml:space="preserve">A party account used for billing purposes. It includes a description of the bill structure (frequency, presentation media, format and so on). It is a specialization of the entity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PartyAccount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41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42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43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3A0FCB" w14:paraId="3E00F67D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settlementAccount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 xml:space="preserve">A party account used for settlement purposes. It includes a description of the bill structure (frequency, presentation media, format and so on). It is a specialization of the entity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PartyAccount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>.</w:t>
            </w:r>
          </w:p>
          <w:p w14:paraId="00000047" w14:textId="77777777" w:rsidR="003A0FCB" w:rsidRDefault="003A0FCB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49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4A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4B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3A0FCB" w14:paraId="45FCDD85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financialAccount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 xml:space="preserve">An account of money owed by a party to another entity in exchange for goods or services that have been delivered or used. A financial (account receivable account/account payable) aggregates the amounts of one or more party accounts (billing or settlement) </w:t>
            </w:r>
            <w:r>
              <w:rPr>
                <w:color w:val="172B4D"/>
                <w:sz w:val="24"/>
                <w:szCs w:val="24"/>
                <w:highlight w:val="white"/>
              </w:rPr>
              <w:t>owned by a given party. It is a specialization of the entity Account.</w:t>
            </w:r>
          </w:p>
          <w:p w14:paraId="0000004F" w14:textId="77777777" w:rsidR="003A0FCB" w:rsidRDefault="003A0FCB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51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52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53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DELETEGET</w:t>
            </w:r>
          </w:p>
          <w:p w14:paraId="00000054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55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56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3A0FCB" w14:paraId="10CB156E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billingCycleSpecification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A detailed description of when to initiate a billing cycle and the various sub steps of a billing cycle.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5B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5C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5D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3A0FCB" w14:paraId="5A01D5D5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billingFormat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A detailed description of the way in which a bill is presented.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62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63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64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3A0FCB" w14:paraId="1375210D" w14:textId="77777777" w:rsidTr="00093C6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3A0FCB" w:rsidRDefault="00434E00">
            <w:pPr>
              <w:spacing w:before="280" w:after="14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3A0FCB" w:rsidRDefault="00434E00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billingPresentationMedia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3A0FCB" w:rsidRDefault="00434E00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A means of communicating a bill, supported by the associated bill format. For example, post mail, email, web page.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3A0FCB" w:rsidRDefault="00434E00">
            <w:pPr>
              <w:numPr>
                <w:ilvl w:val="0"/>
                <w:numId w:val="1"/>
              </w:num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69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6A" w14:textId="77777777" w:rsidR="003A0FCB" w:rsidRDefault="00434E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6B" w14:textId="77777777" w:rsidR="003A0FCB" w:rsidRDefault="00434E00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000006C" w14:textId="77777777" w:rsidR="003A0FCB" w:rsidRDefault="00434E00">
      <w:pPr>
        <w:ind w:left="709"/>
        <w:rPr>
          <w:sz w:val="32"/>
          <w:szCs w:val="32"/>
        </w:rPr>
      </w:pPr>
      <w:r>
        <w:br w:type="page"/>
      </w:r>
    </w:p>
    <w:p w14:paraId="0000006E" w14:textId="77777777" w:rsidR="003A0FCB" w:rsidRDefault="00434E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000006F" w14:textId="77777777" w:rsidR="003A0FCB" w:rsidRDefault="00434E00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597843" cy="6751122"/>
            <wp:effectExtent l="0" t="0" r="0" b="0"/>
            <wp:docPr id="5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70" w14:textId="10E32054" w:rsidR="00093C6A" w:rsidRDefault="00093C6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000072" w14:textId="77777777" w:rsidR="003A0FCB" w:rsidRDefault="00434E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0000073" w14:textId="43FD49C0" w:rsidR="003A0FCB" w:rsidRDefault="00093C6A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63DB3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84653776" r:id="rId10"/>
        </w:object>
      </w:r>
    </w:p>
    <w:sectPr w:rsidR="003A0FCB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1F2F" w14:textId="77777777" w:rsidR="00434E00" w:rsidRDefault="00434E00">
      <w:r>
        <w:separator/>
      </w:r>
    </w:p>
  </w:endnote>
  <w:endnote w:type="continuationSeparator" w:id="0">
    <w:p w14:paraId="6D733D62" w14:textId="77777777" w:rsidR="00434E00" w:rsidRDefault="0043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5EA4B401" w:rsidR="003A0FCB" w:rsidRDefault="00434E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093C6A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093C6A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0000007B" w14:textId="77777777" w:rsidR="003A0FCB" w:rsidRDefault="003A0F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A78E" w14:textId="77777777" w:rsidR="00434E00" w:rsidRDefault="00434E00">
      <w:r>
        <w:separator/>
      </w:r>
    </w:p>
  </w:footnote>
  <w:footnote w:type="continuationSeparator" w:id="0">
    <w:p w14:paraId="44D1421F" w14:textId="77777777" w:rsidR="00434E00" w:rsidRDefault="0043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07F0673C" w:rsidR="003A0FCB" w:rsidRDefault="00434E00" w:rsidP="00093C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-1204851</wp:posOffset>
          </wp:positionH>
          <wp:positionV relativeFrom="paragraph">
            <wp:posOffset>-3167</wp:posOffset>
          </wp:positionV>
          <wp:extent cx="8605227" cy="673331"/>
          <wp:effectExtent l="0" t="0" r="0" b="0"/>
          <wp:wrapSquare wrapText="bothSides" distT="0" distB="0" distL="0" distR="0"/>
          <wp:docPr id="5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00000079" w14:textId="77777777" w:rsidR="003A0FCB" w:rsidRDefault="00434E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3A0FCB" w:rsidRDefault="00434E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87612"/>
    <w:multiLevelType w:val="multilevel"/>
    <w:tmpl w:val="C5BA0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1579B"/>
    <w:multiLevelType w:val="multilevel"/>
    <w:tmpl w:val="39C22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CB"/>
    <w:rsid w:val="00093C6A"/>
    <w:rsid w:val="003A0FCB"/>
    <w:rsid w:val="0043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62731"/>
  <w15:docId w15:val="{ABC25D7E-2DDC-4C0D-BD92-2454DB09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Knvq0JMH9Zrrgmbw7ypGvcV/Q==">AMUW2mUjV8fNXtxv2jKLg50tbLtHE4cYKaanXqwVnvk+IbLrMdbAYpzqXaSI/CpkXpxNZabF9NfgJbDubZ/lISUfqvw+B5kaXoW4rJM11ndv2kA7AxLHW4gUgVlmYs9lt79WWvJ/tRhULfZkSOg3OxLf83a2FwoSaw==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2021-06-08T08:36:00Z</dcterms:modified>
</cp:coreProperties>
</file>