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5E91" w14:textId="6652B73E" w:rsidR="00DE6BFF" w:rsidRPr="00742512" w:rsidRDefault="00DE6BFF" w:rsidP="00742512">
      <w:pPr>
        <w:tabs>
          <w:tab w:val="right" w:pos="9360"/>
        </w:tabs>
        <w:ind w:left="709"/>
        <w:rPr>
          <w:rFonts w:cs="Calibri"/>
          <w:bCs/>
          <w:color w:val="404040"/>
          <w:sz w:val="36"/>
        </w:rPr>
      </w:pPr>
    </w:p>
    <w:p w14:paraId="0E4CC56E" w14:textId="323EC2C3" w:rsidR="00742512" w:rsidRPr="00742512" w:rsidRDefault="00742512" w:rsidP="00742512">
      <w:pPr>
        <w:tabs>
          <w:tab w:val="right" w:pos="9360"/>
        </w:tabs>
        <w:ind w:left="709"/>
        <w:rPr>
          <w:rFonts w:cs="Calibri"/>
          <w:bCs/>
          <w:color w:val="404040"/>
          <w:sz w:val="36"/>
        </w:rPr>
      </w:pPr>
    </w:p>
    <w:p w14:paraId="2CC2765A" w14:textId="3B43276C" w:rsidR="00742512" w:rsidRPr="00742512" w:rsidRDefault="00742512" w:rsidP="00742512">
      <w:pPr>
        <w:tabs>
          <w:tab w:val="right" w:pos="9360"/>
        </w:tabs>
        <w:ind w:left="709"/>
        <w:rPr>
          <w:rFonts w:cs="Calibri"/>
          <w:bCs/>
          <w:color w:val="404040"/>
          <w:sz w:val="36"/>
        </w:rPr>
      </w:pPr>
    </w:p>
    <w:p w14:paraId="1A4C3413" w14:textId="78768E92" w:rsidR="00742512" w:rsidRPr="00742512" w:rsidRDefault="00742512" w:rsidP="00742512">
      <w:pPr>
        <w:tabs>
          <w:tab w:val="right" w:pos="9360"/>
        </w:tabs>
        <w:ind w:left="709"/>
        <w:rPr>
          <w:rFonts w:cs="Calibri"/>
          <w:bCs/>
          <w:color w:val="404040"/>
          <w:sz w:val="36"/>
        </w:rPr>
      </w:pPr>
    </w:p>
    <w:p w14:paraId="774876CA" w14:textId="3202180C" w:rsidR="00742512" w:rsidRPr="00742512" w:rsidRDefault="00742512" w:rsidP="00742512">
      <w:pPr>
        <w:tabs>
          <w:tab w:val="right" w:pos="9360"/>
        </w:tabs>
        <w:ind w:left="709"/>
        <w:rPr>
          <w:rFonts w:cs="Calibri"/>
          <w:bCs/>
          <w:color w:val="404040"/>
          <w:sz w:val="36"/>
        </w:rPr>
      </w:pPr>
    </w:p>
    <w:sdt>
      <w:sdtPr>
        <w:id w:val="1138455628"/>
        <w:docPartObj>
          <w:docPartGallery w:val="Cover Pages"/>
          <w:docPartUnique/>
        </w:docPartObj>
      </w:sdtPr>
      <w:sdtEndPr/>
      <w:sdtContent>
        <w:p w14:paraId="6A0C7F0D" w14:textId="0260A982" w:rsidR="00EE1557" w:rsidRPr="00EE1557" w:rsidRDefault="00282704" w:rsidP="008C536F">
          <w:pPr>
            <w:keepNext/>
            <w:keepLines/>
            <w:spacing w:line="340" w:lineRule="atLeast"/>
            <w:ind w:left="709"/>
            <w:rPr>
              <w:rFonts w:ascii="Georgia" w:hAnsi="Georgia"/>
              <w:b/>
              <w:color w:val="FF0000"/>
              <w:spacing w:val="-16"/>
              <w:kern w:val="28"/>
              <w:sz w:val="56"/>
              <w:szCs w:val="56"/>
            </w:rPr>
          </w:pPr>
          <w:r w:rsidRPr="00282704">
            <w:rPr>
              <w:rFonts w:ascii="Georgia" w:hAnsi="Georgia"/>
              <w:b/>
              <w:color w:val="FF0000"/>
              <w:spacing w:val="-16"/>
              <w:kern w:val="28"/>
              <w:sz w:val="56"/>
              <w:szCs w:val="56"/>
            </w:rPr>
            <w:t xml:space="preserve">TM </w:t>
          </w:r>
          <w:r w:rsidRPr="008C536F">
            <w:rPr>
              <w:rFonts w:ascii="Georgia" w:hAnsi="Georgia"/>
              <w:b/>
              <w:color w:val="FF0000"/>
              <w:spacing w:val="-16"/>
              <w:kern w:val="28"/>
              <w:sz w:val="56"/>
              <w:szCs w:val="56"/>
            </w:rPr>
            <w:t xml:space="preserve">Forum </w:t>
          </w:r>
          <w:r w:rsidRPr="00282704">
            <w:rPr>
              <w:rFonts w:ascii="Georgia" w:hAnsi="Georgia"/>
              <w:b/>
              <w:color w:val="FF0000"/>
              <w:spacing w:val="-16"/>
              <w:kern w:val="28"/>
              <w:sz w:val="56"/>
              <w:szCs w:val="56"/>
            </w:rPr>
            <w:t>Open APIs</w:t>
          </w:r>
          <w:r w:rsidR="00EE1557">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277E70FD"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01468C">
            <w:rPr>
              <w:rFonts w:cs="Calibri"/>
              <w:b/>
              <w:i/>
              <w:color w:val="404040"/>
              <w:sz w:val="40"/>
              <w:szCs w:val="40"/>
              <w:lang w:val="en-GB"/>
            </w:rPr>
            <w:t xml:space="preserve">Comviva </w:t>
          </w:r>
          <w:r w:rsidR="005B7713" w:rsidRPr="005B7713">
            <w:rPr>
              <w:rFonts w:cs="Calibri"/>
              <w:b/>
              <w:i/>
              <w:color w:val="404040"/>
              <w:sz w:val="40"/>
              <w:szCs w:val="40"/>
              <w:lang w:val="en-GB"/>
            </w:rPr>
            <w:t>Technologies Limited</w:t>
          </w:r>
        </w:p>
        <w:p w14:paraId="6D88A0B1" w14:textId="77777777" w:rsidR="00742512" w:rsidRPr="00742512" w:rsidRDefault="00742512" w:rsidP="00742512">
          <w:pPr>
            <w:tabs>
              <w:tab w:val="right" w:pos="9360"/>
            </w:tabs>
            <w:ind w:left="709"/>
            <w:rPr>
              <w:rFonts w:cs="Calibri"/>
              <w:bCs/>
              <w:color w:val="404040"/>
              <w:sz w:val="36"/>
            </w:rPr>
          </w:pPr>
        </w:p>
        <w:p w14:paraId="11A3789F" w14:textId="77777777" w:rsidR="00742512"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006B1B20">
            <w:rPr>
              <w:rFonts w:cs="Calibri"/>
              <w:i/>
              <w:color w:val="404040"/>
              <w:sz w:val="40"/>
              <w:szCs w:val="40"/>
              <w:lang w:val="en-GB"/>
            </w:rPr>
            <w:t>API Name:</w:t>
          </w:r>
        </w:p>
        <w:p w14:paraId="4590DE31" w14:textId="47571DAA" w:rsidR="006B1B20" w:rsidRDefault="006B1B20" w:rsidP="008C536F">
          <w:pPr>
            <w:keepNext/>
            <w:keepLines/>
            <w:spacing w:line="340" w:lineRule="atLeast"/>
            <w:ind w:left="709"/>
            <w:rPr>
              <w:b/>
              <w:i/>
              <w:color w:val="404040"/>
              <w:sz w:val="40"/>
            </w:rPr>
          </w:pPr>
          <w:r w:rsidRPr="006B1B20">
            <w:rPr>
              <w:b/>
              <w:i/>
              <w:color w:val="404040"/>
              <w:sz w:val="40"/>
            </w:rPr>
            <w:t>TMF648 Quote Management API</w:t>
          </w:r>
        </w:p>
        <w:p w14:paraId="1F086D11" w14:textId="77777777" w:rsidR="00742512" w:rsidRPr="00742512" w:rsidRDefault="00742512" w:rsidP="00742512">
          <w:pPr>
            <w:tabs>
              <w:tab w:val="right" w:pos="9360"/>
            </w:tabs>
            <w:ind w:left="709"/>
            <w:rPr>
              <w:rFonts w:cs="Calibri"/>
              <w:bCs/>
              <w:color w:val="404040"/>
              <w:sz w:val="36"/>
            </w:rPr>
          </w:pPr>
        </w:p>
        <w:p w14:paraId="3F2E29AF" w14:textId="4207B4BA"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F478B1">
            <w:rPr>
              <w:b/>
              <w:i/>
              <w:color w:val="404040"/>
              <w:sz w:val="40"/>
            </w:rPr>
            <w:t>19.0</w:t>
          </w:r>
          <w:r w:rsidR="00742512">
            <w:rPr>
              <w:b/>
              <w:i/>
              <w:color w:val="404040"/>
              <w:sz w:val="40"/>
            </w:rPr>
            <w:t xml:space="preserve"> </w:t>
          </w:r>
          <w:r w:rsidR="009C5DED">
            <w:rPr>
              <w:b/>
              <w:i/>
              <w:color w:val="404040"/>
              <w:sz w:val="40"/>
            </w:rPr>
            <w:t>/</w:t>
          </w:r>
          <w:r w:rsidR="00742512">
            <w:rPr>
              <w:b/>
              <w:i/>
              <w:color w:val="404040"/>
              <w:sz w:val="40"/>
            </w:rPr>
            <w:t xml:space="preserve"> </w:t>
          </w:r>
          <w:r w:rsidR="009C5DED">
            <w:rPr>
              <w:b/>
              <w:i/>
              <w:color w:val="404040"/>
              <w:sz w:val="40"/>
            </w:rPr>
            <w:t>4</w:t>
          </w:r>
          <w:r w:rsidR="009C5DED" w:rsidRPr="00951F30">
            <w:rPr>
              <w:b/>
              <w:i/>
              <w:color w:val="404040"/>
              <w:sz w:val="40"/>
            </w:rPr>
            <w:t>.0</w:t>
          </w:r>
        </w:p>
        <w:p w14:paraId="44D17FAE" w14:textId="77777777" w:rsidR="00EE1557" w:rsidRPr="00742512" w:rsidRDefault="00EE1557" w:rsidP="008C536F">
          <w:pPr>
            <w:tabs>
              <w:tab w:val="right" w:pos="9360"/>
            </w:tabs>
            <w:ind w:left="709"/>
            <w:rPr>
              <w:rFonts w:cs="Calibri"/>
              <w:bCs/>
              <w:color w:val="404040"/>
              <w:sz w:val="36"/>
            </w:rPr>
          </w:pPr>
        </w:p>
        <w:p w14:paraId="341C16A5" w14:textId="77777777" w:rsidR="00EE1557" w:rsidRPr="00742512" w:rsidRDefault="00EE1557" w:rsidP="008C536F">
          <w:pPr>
            <w:tabs>
              <w:tab w:val="right" w:pos="9360"/>
            </w:tabs>
            <w:ind w:left="709"/>
            <w:rPr>
              <w:rFonts w:cs="Calibri"/>
              <w:bCs/>
              <w:color w:val="404040"/>
              <w:sz w:val="36"/>
            </w:rPr>
          </w:pPr>
        </w:p>
        <w:p w14:paraId="349D8904" w14:textId="2EC66192" w:rsidR="00EE1557" w:rsidRPr="00742512" w:rsidRDefault="00EE1557" w:rsidP="008C536F">
          <w:pPr>
            <w:tabs>
              <w:tab w:val="right" w:pos="9360"/>
            </w:tabs>
            <w:ind w:left="709"/>
            <w:rPr>
              <w:rFonts w:cs="Calibri"/>
              <w:bCs/>
              <w:color w:val="404040"/>
              <w:sz w:val="36"/>
            </w:rPr>
          </w:pPr>
        </w:p>
        <w:p w14:paraId="1A9E2676" w14:textId="77777777" w:rsidR="00EE1557" w:rsidRPr="00742512" w:rsidRDefault="00EE1557" w:rsidP="008C536F">
          <w:pPr>
            <w:tabs>
              <w:tab w:val="right" w:pos="9360"/>
            </w:tabs>
            <w:ind w:left="709"/>
            <w:rPr>
              <w:rFonts w:cs="Calibri"/>
              <w:bCs/>
              <w:color w:val="404040"/>
              <w:sz w:val="36"/>
            </w:rPr>
          </w:pPr>
        </w:p>
        <w:p w14:paraId="403645B3" w14:textId="77777777" w:rsidR="00EE1557" w:rsidRPr="00742512" w:rsidRDefault="00EE1557" w:rsidP="008C536F">
          <w:pPr>
            <w:tabs>
              <w:tab w:val="right" w:pos="9360"/>
            </w:tabs>
            <w:ind w:left="709"/>
            <w:rPr>
              <w:rFonts w:cs="Calibri"/>
              <w:bCs/>
              <w:color w:val="404040"/>
              <w:sz w:val="36"/>
            </w:rPr>
          </w:pPr>
        </w:p>
        <w:p w14:paraId="7D1CACC8" w14:textId="77777777" w:rsidR="00EE1557" w:rsidRPr="00742512" w:rsidRDefault="00EE1557" w:rsidP="008C536F">
          <w:pPr>
            <w:tabs>
              <w:tab w:val="right" w:pos="9360"/>
            </w:tabs>
            <w:ind w:left="709"/>
            <w:rPr>
              <w:rFonts w:cs="Calibri"/>
              <w:bCs/>
              <w:color w:val="404040"/>
              <w:sz w:val="36"/>
            </w:rPr>
          </w:pPr>
        </w:p>
        <w:p w14:paraId="501D5CCE" w14:textId="3CAD2281" w:rsidR="00EE1557" w:rsidRPr="00742512" w:rsidRDefault="00EE1557" w:rsidP="008C536F">
          <w:pPr>
            <w:tabs>
              <w:tab w:val="right" w:pos="9360"/>
            </w:tabs>
            <w:ind w:left="709"/>
            <w:rPr>
              <w:rFonts w:cs="Calibri"/>
              <w:bCs/>
              <w:color w:val="404040"/>
              <w:sz w:val="36"/>
            </w:rPr>
          </w:pPr>
        </w:p>
        <w:p w14:paraId="59118E05" w14:textId="118249E2" w:rsidR="00742512" w:rsidRPr="00742512" w:rsidRDefault="00742512" w:rsidP="008C536F">
          <w:pPr>
            <w:tabs>
              <w:tab w:val="right" w:pos="9360"/>
            </w:tabs>
            <w:ind w:left="709"/>
            <w:rPr>
              <w:rFonts w:cs="Calibri"/>
              <w:bCs/>
              <w:color w:val="404040"/>
              <w:sz w:val="36"/>
            </w:rPr>
          </w:pPr>
        </w:p>
        <w:p w14:paraId="4E592470" w14:textId="4CD7C583" w:rsidR="00742512" w:rsidRPr="00742512" w:rsidRDefault="00742512" w:rsidP="008C536F">
          <w:pPr>
            <w:tabs>
              <w:tab w:val="right" w:pos="9360"/>
            </w:tabs>
            <w:ind w:left="709"/>
            <w:rPr>
              <w:rFonts w:cs="Calibri"/>
              <w:bCs/>
              <w:color w:val="404040"/>
              <w:sz w:val="36"/>
            </w:rPr>
          </w:pPr>
        </w:p>
        <w:p w14:paraId="0CC110DA" w14:textId="77777777" w:rsidR="00742512" w:rsidRPr="00742512" w:rsidRDefault="00742512" w:rsidP="008C536F">
          <w:pPr>
            <w:tabs>
              <w:tab w:val="right" w:pos="9360"/>
            </w:tabs>
            <w:ind w:left="709"/>
            <w:rPr>
              <w:rFonts w:cs="Calibri"/>
              <w:bCs/>
              <w:color w:val="404040"/>
              <w:sz w:val="36"/>
            </w:rPr>
          </w:pPr>
        </w:p>
        <w:p w14:paraId="05580B9E" w14:textId="77777777" w:rsidR="00282704" w:rsidRPr="00742512" w:rsidRDefault="00282704" w:rsidP="008C536F">
          <w:pPr>
            <w:tabs>
              <w:tab w:val="right" w:pos="9360"/>
            </w:tabs>
            <w:ind w:left="709"/>
            <w:rPr>
              <w:rFonts w:cs="Calibri"/>
              <w:bCs/>
              <w:color w:val="404040"/>
              <w:sz w:val="36"/>
            </w:rPr>
          </w:pPr>
        </w:p>
        <w:p w14:paraId="39027E73" w14:textId="3616593F"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5B5304">
            <w:rPr>
              <w:b/>
              <w:i/>
              <w:color w:val="404040"/>
              <w:sz w:val="40"/>
            </w:rPr>
            <w:t>13</w:t>
          </w:r>
          <w:r w:rsidR="00FF4D85">
            <w:rPr>
              <w:b/>
              <w:i/>
              <w:color w:val="404040"/>
              <w:sz w:val="40"/>
            </w:rPr>
            <w:t>-</w:t>
          </w:r>
          <w:r w:rsidR="005B5304">
            <w:rPr>
              <w:b/>
              <w:i/>
              <w:color w:val="404040"/>
              <w:sz w:val="40"/>
            </w:rPr>
            <w:t>10</w:t>
          </w:r>
          <w:r w:rsidR="00CA53B2" w:rsidRPr="004B1BC9">
            <w:rPr>
              <w:b/>
              <w:i/>
              <w:color w:val="404040"/>
              <w:sz w:val="40"/>
            </w:rPr>
            <w:t>-2021</w:t>
          </w:r>
        </w:p>
        <w:p w14:paraId="103C2725" w14:textId="77777777" w:rsidR="00282704" w:rsidRDefault="00C96C60" w:rsidP="008C536F">
          <w:pPr>
            <w:ind w:left="709"/>
          </w:pPr>
          <w:r>
            <w:br w:type="page"/>
          </w:r>
        </w:p>
      </w:sdtContent>
    </w:sdt>
    <w:bookmarkStart w:id="0" w:name="_Toc383691178" w:displacedByCustomXml="prev"/>
    <w:bookmarkStart w:id="1" w:name="_Ref320697427"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DB1DBB5" w14:textId="15124EB8" w:rsidR="004866E9" w:rsidRDefault="004866E9" w:rsidP="008C536F">
      <w:pPr>
        <w:ind w:left="709"/>
        <w:rPr>
          <w:sz w:val="32"/>
        </w:rPr>
      </w:pPr>
    </w:p>
    <w:p w14:paraId="7D3FCB73" w14:textId="77777777" w:rsidR="00CF414E" w:rsidRDefault="00CF414E" w:rsidP="00CF414E">
      <w:pPr>
        <w:tabs>
          <w:tab w:val="left" w:pos="10530"/>
        </w:tabs>
        <w:ind w:left="709" w:right="486"/>
        <w:jc w:val="both"/>
        <w:rPr>
          <w:sz w:val="28"/>
        </w:rPr>
      </w:pPr>
      <w:r w:rsidRPr="00CF414E">
        <w:rPr>
          <w:sz w:val="28"/>
        </w:rPr>
        <w:t>Comviva’s BSS suite is a comprehensive and focused business support system that handles an operator's entire set-up, allowing more efficient management of the operator resources, streamlining operational activities and delivering lifetime support to the operator’s network and subscriber base. Utilizing common unified interface across multiple operational activities, the service provider is able to manage the complete mobile subscriber lifecycle. The single, consolidated view of operations provided by Comviva’s BSS suite enables operators to appropriately prioritize subscriber demands and meet subscriber expectations. Via its centralized repository and flexible workflows, Comviva’s BSS suite effectively handles all manner of queries, enhancing customer services, improving customer satisfaction and ultimately enabling a more focused marketing strategy.</w:t>
      </w:r>
    </w:p>
    <w:p w14:paraId="429F7FA1" w14:textId="77777777" w:rsidR="00CF414E" w:rsidRPr="00CF414E" w:rsidRDefault="00CF414E" w:rsidP="00CF414E">
      <w:pPr>
        <w:tabs>
          <w:tab w:val="left" w:pos="10530"/>
        </w:tabs>
        <w:ind w:left="709" w:right="486"/>
        <w:jc w:val="both"/>
        <w:rPr>
          <w:sz w:val="28"/>
        </w:rPr>
      </w:pPr>
    </w:p>
    <w:p w14:paraId="136CFFB4" w14:textId="77777777" w:rsidR="00CF414E" w:rsidRPr="00CF414E" w:rsidRDefault="00CF414E" w:rsidP="00CF414E">
      <w:pPr>
        <w:tabs>
          <w:tab w:val="left" w:pos="10530"/>
        </w:tabs>
        <w:ind w:left="709" w:right="486"/>
        <w:jc w:val="both"/>
        <w:rPr>
          <w:sz w:val="28"/>
        </w:rPr>
      </w:pPr>
      <w:r w:rsidRPr="00CF414E">
        <w:rPr>
          <w:sz w:val="28"/>
        </w:rPr>
        <w:t>Comviva’s BSS suite is an end-to-end Business Support solution, with ability to integrate with the rating and credit management platform including Intelligent Networks, Service Nodes and Hot Billing solutions. It is designed to provide the capability to leverage creative marketing programs to the full, while maximizing the effectiveness of Customer Care. It is designed as a modular system so it will grow alongside each operators expanding service portfolio and support an increasing subscriber base.</w:t>
      </w:r>
    </w:p>
    <w:p w14:paraId="579A58DB" w14:textId="7A9169BB" w:rsidR="00CF414E" w:rsidRDefault="00CF414E" w:rsidP="00CF414E">
      <w:pPr>
        <w:tabs>
          <w:tab w:val="left" w:pos="10530"/>
        </w:tabs>
        <w:ind w:left="709" w:right="486"/>
        <w:jc w:val="both"/>
        <w:rPr>
          <w:sz w:val="28"/>
        </w:rPr>
      </w:pPr>
      <w:r w:rsidRPr="00CF414E">
        <w:rPr>
          <w:sz w:val="28"/>
        </w:rPr>
        <w:t>Comviva’s BSS suite can be rapidly deployed at and offers an excellent range of features.  Some of the basic dimensions that have been taken into account while designing Comviva’s BSS suite include:</w:t>
      </w:r>
    </w:p>
    <w:p w14:paraId="379235B4" w14:textId="77777777" w:rsidR="00742512" w:rsidRPr="00CF414E" w:rsidRDefault="00742512" w:rsidP="00CF414E">
      <w:pPr>
        <w:tabs>
          <w:tab w:val="left" w:pos="10530"/>
        </w:tabs>
        <w:ind w:left="709" w:right="486"/>
        <w:jc w:val="both"/>
        <w:rPr>
          <w:sz w:val="28"/>
        </w:rPr>
      </w:pPr>
    </w:p>
    <w:p w14:paraId="574FB9C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Scalability of software to support the growth plan of service providers</w:t>
      </w:r>
    </w:p>
    <w:p w14:paraId="2897CB0F"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interface seamlessly with existing and new applications, protecting investment</w:t>
      </w:r>
    </w:p>
    <w:p w14:paraId="6255D344"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Minimization of revenue loss</w:t>
      </w:r>
    </w:p>
    <w:p w14:paraId="1196C939"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Rapid deployment</w:t>
      </w:r>
    </w:p>
    <w:p w14:paraId="60B24A4D" w14:textId="77777777" w:rsidR="00CF414E" w:rsidRPr="00CF414E" w:rsidRDefault="00CF414E" w:rsidP="00CF414E">
      <w:pPr>
        <w:pStyle w:val="ListParagraph"/>
        <w:numPr>
          <w:ilvl w:val="0"/>
          <w:numId w:val="3"/>
        </w:numPr>
        <w:tabs>
          <w:tab w:val="left" w:pos="10530"/>
        </w:tabs>
        <w:ind w:right="486"/>
        <w:jc w:val="both"/>
        <w:rPr>
          <w:sz w:val="28"/>
        </w:rPr>
      </w:pPr>
      <w:r w:rsidRPr="00CF414E">
        <w:rPr>
          <w:sz w:val="28"/>
        </w:rPr>
        <w:t>Ability to cater to a wide spectrum of communication</w:t>
      </w:r>
    </w:p>
    <w:p w14:paraId="32D94776" w14:textId="77777777" w:rsidR="00CF414E" w:rsidRDefault="00CF414E" w:rsidP="00CF414E">
      <w:pPr>
        <w:pStyle w:val="ListParagraph"/>
        <w:numPr>
          <w:ilvl w:val="0"/>
          <w:numId w:val="3"/>
        </w:numPr>
        <w:tabs>
          <w:tab w:val="left" w:pos="10530"/>
        </w:tabs>
        <w:ind w:right="486"/>
        <w:jc w:val="both"/>
        <w:rPr>
          <w:sz w:val="28"/>
        </w:rPr>
      </w:pPr>
      <w:r w:rsidRPr="00CF414E">
        <w:rPr>
          <w:sz w:val="28"/>
        </w:rPr>
        <w:t>Easy to learn and faster to use to cut training costs.</w:t>
      </w:r>
    </w:p>
    <w:p w14:paraId="3F0F92D2" w14:textId="77777777" w:rsidR="00CF414E" w:rsidRPr="00CF414E" w:rsidRDefault="00CF414E" w:rsidP="00CF414E">
      <w:pPr>
        <w:pStyle w:val="ListParagraph"/>
        <w:tabs>
          <w:tab w:val="left" w:pos="10530"/>
        </w:tabs>
        <w:ind w:left="1429" w:right="486"/>
        <w:jc w:val="both"/>
        <w:rPr>
          <w:sz w:val="28"/>
        </w:rPr>
      </w:pPr>
    </w:p>
    <w:p w14:paraId="56D4578C" w14:textId="54974B63" w:rsidR="00CF414E" w:rsidRPr="00CF414E" w:rsidRDefault="00CF414E" w:rsidP="00CF414E">
      <w:pPr>
        <w:tabs>
          <w:tab w:val="left" w:pos="10530"/>
        </w:tabs>
        <w:ind w:left="709" w:right="486"/>
        <w:jc w:val="both"/>
        <w:rPr>
          <w:sz w:val="28"/>
        </w:rPr>
      </w:pPr>
      <w:r w:rsidRPr="00CF414E">
        <w:rPr>
          <w:sz w:val="28"/>
        </w:rPr>
        <w:t>Comviva’s BSS suite solution is a leading edge, Provisioning &amp; Customer Care solution that integrates critical business processes and workflows of prepaid operations. Comviva’s BSS suite empowers the Customer Care personnel with the ability to address customer problems, queries and requests effectively and efficiently</w:t>
      </w:r>
    </w:p>
    <w:p w14:paraId="0AC24E9A" w14:textId="77777777" w:rsidR="004866E9" w:rsidRPr="00CF414E" w:rsidRDefault="004866E9" w:rsidP="00CF414E">
      <w:pPr>
        <w:tabs>
          <w:tab w:val="left" w:pos="10530"/>
        </w:tabs>
        <w:ind w:left="709" w:right="486"/>
        <w:jc w:val="both"/>
        <w:rPr>
          <w:sz w:val="28"/>
        </w:rPr>
      </w:pPr>
    </w:p>
    <w:p w14:paraId="39DD3787" w14:textId="5B4E2BCE" w:rsidR="00282704" w:rsidRPr="008C536F" w:rsidRDefault="00282704" w:rsidP="008C536F">
      <w:pPr>
        <w:ind w:left="709"/>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Default="00CC2BF6" w:rsidP="008C536F">
      <w:pPr>
        <w:ind w:left="709"/>
        <w:rPr>
          <w:sz w:val="32"/>
        </w:rPr>
      </w:pPr>
      <w:bookmarkStart w:id="2" w:name="_Toc490661761"/>
      <w:bookmarkStart w:id="3" w:name="_Toc308441422"/>
      <w:bookmarkEnd w:id="1"/>
      <w:bookmarkEnd w:id="0"/>
    </w:p>
    <w:p w14:paraId="50BE2F93" w14:textId="16A79A83" w:rsidR="00C63594" w:rsidRDefault="000A03EC" w:rsidP="000A03EC">
      <w:pPr>
        <w:ind w:left="709"/>
        <w:rPr>
          <w:sz w:val="32"/>
        </w:rPr>
      </w:pPr>
      <w:r w:rsidRPr="000A03EC">
        <w:rPr>
          <w:sz w:val="32"/>
        </w:rPr>
        <w:t xml:space="preserve">This API </w:t>
      </w:r>
      <w:r w:rsidR="005B5304" w:rsidRPr="005B5304">
        <w:rPr>
          <w:sz w:val="32"/>
        </w:rPr>
        <w:t>can be used to negotiate service and product acquisition or modification between a customer and a service provider. Quote contain list of quote items, a reference to customer (party</w:t>
      </w:r>
      <w:r w:rsidR="00FF7028">
        <w:rPr>
          <w:sz w:val="32"/>
        </w:rPr>
        <w:t xml:space="preserve"> </w:t>
      </w:r>
      <w:r w:rsidR="005B5304" w:rsidRPr="005B5304">
        <w:rPr>
          <w:sz w:val="32"/>
        </w:rPr>
        <w:t>Role), a list of product</w:t>
      </w:r>
      <w:r w:rsidR="00FF7028">
        <w:rPr>
          <w:sz w:val="32"/>
        </w:rPr>
        <w:t xml:space="preserve"> </w:t>
      </w:r>
      <w:r w:rsidR="005B5304" w:rsidRPr="005B5304">
        <w:rPr>
          <w:sz w:val="32"/>
        </w:rPr>
        <w:t>Offering and attached prices and conditions.</w:t>
      </w:r>
    </w:p>
    <w:p w14:paraId="4BF107BC" w14:textId="77777777" w:rsidR="000A03EC" w:rsidRDefault="000A03EC" w:rsidP="000A03EC">
      <w:pPr>
        <w:ind w:left="709"/>
        <w:rPr>
          <w:sz w:val="32"/>
        </w:rPr>
      </w:pPr>
    </w:p>
    <w:p w14:paraId="05275EBF" w14:textId="1A555C93" w:rsidR="00FF7028" w:rsidRDefault="005B5304" w:rsidP="000A03EC">
      <w:pPr>
        <w:ind w:left="709"/>
        <w:rPr>
          <w:sz w:val="32"/>
        </w:rPr>
      </w:pPr>
      <w:r w:rsidRPr="005B5304">
        <w:rPr>
          <w:sz w:val="32"/>
        </w:rPr>
        <w:t>As a part of B2B offerings for complex services like ICT, SDWAN, or Managed C</w:t>
      </w:r>
      <w:r w:rsidR="00FF7028">
        <w:rPr>
          <w:sz w:val="32"/>
        </w:rPr>
        <w:t>onnectivity</w:t>
      </w:r>
      <w:r w:rsidRPr="005B5304">
        <w:rPr>
          <w:sz w:val="32"/>
        </w:rPr>
        <w:t>, there is a quote process needed that allows oper</w:t>
      </w:r>
      <w:r w:rsidR="00FF7028">
        <w:rPr>
          <w:sz w:val="32"/>
        </w:rPr>
        <w:t>a</w:t>
      </w:r>
      <w:r w:rsidRPr="005B5304">
        <w:rPr>
          <w:sz w:val="32"/>
        </w:rPr>
        <w:t xml:space="preserve">tor business </w:t>
      </w:r>
      <w:r w:rsidR="00FF7028">
        <w:rPr>
          <w:sz w:val="32"/>
        </w:rPr>
        <w:t>teams to customiz</w:t>
      </w:r>
      <w:r w:rsidRPr="005B5304">
        <w:rPr>
          <w:sz w:val="32"/>
        </w:rPr>
        <w:t xml:space="preserve">e the Commercial as well as service aspect of catalogue to convert a B2B lead into a B2B account. </w:t>
      </w:r>
    </w:p>
    <w:p w14:paraId="57B19EB8" w14:textId="77777777" w:rsidR="00FF7028" w:rsidRDefault="00FF7028" w:rsidP="000A03EC">
      <w:pPr>
        <w:ind w:left="709"/>
        <w:rPr>
          <w:sz w:val="32"/>
        </w:rPr>
      </w:pPr>
    </w:p>
    <w:p w14:paraId="05FF7003" w14:textId="76983D8B" w:rsidR="000A03EC" w:rsidRPr="005B5304" w:rsidRDefault="005B5304" w:rsidP="000A03EC">
      <w:pPr>
        <w:ind w:left="709"/>
        <w:rPr>
          <w:sz w:val="32"/>
        </w:rPr>
      </w:pPr>
      <w:r w:rsidRPr="005B5304">
        <w:rPr>
          <w:sz w:val="32"/>
        </w:rPr>
        <w:t>Quote Management API will be add</w:t>
      </w:r>
      <w:r w:rsidR="00FF7028">
        <w:rPr>
          <w:sz w:val="32"/>
        </w:rPr>
        <w:t>-</w:t>
      </w:r>
      <w:r w:rsidRPr="005B5304">
        <w:rPr>
          <w:sz w:val="32"/>
        </w:rPr>
        <w:t xml:space="preserve">on </w:t>
      </w:r>
      <w:r w:rsidR="00FF7028">
        <w:rPr>
          <w:sz w:val="32"/>
        </w:rPr>
        <w:t>for Product</w:t>
      </w:r>
      <w:r w:rsidRPr="005B5304">
        <w:rPr>
          <w:sz w:val="32"/>
        </w:rPr>
        <w:t xml:space="preserve"> Catalogue API so that B2B specific offers and quote offer versions can be created</w:t>
      </w:r>
      <w:r>
        <w:rPr>
          <w:sz w:val="32"/>
        </w:rPr>
        <w:t>.</w:t>
      </w:r>
    </w:p>
    <w:p w14:paraId="1E8F7097" w14:textId="77777777" w:rsidR="005B5304" w:rsidRPr="00A0744C" w:rsidRDefault="005B5304" w:rsidP="00742512">
      <w:pPr>
        <w:ind w:left="709"/>
        <w:rPr>
          <w:sz w:val="32"/>
        </w:rPr>
      </w:pPr>
    </w:p>
    <w:p w14:paraId="44F8097D" w14:textId="7A15E91A" w:rsidR="00FE6562" w:rsidRDefault="00D47A60" w:rsidP="00FE6562">
      <w:pPr>
        <w:pStyle w:val="ListParagraph"/>
        <w:numPr>
          <w:ilvl w:val="2"/>
          <w:numId w:val="5"/>
        </w:numPr>
        <w:tabs>
          <w:tab w:val="left" w:pos="10530"/>
        </w:tabs>
        <w:ind w:right="486"/>
        <w:jc w:val="both"/>
        <w:rPr>
          <w:b/>
          <w:sz w:val="28"/>
        </w:rPr>
      </w:pPr>
      <w:r>
        <w:rPr>
          <w:b/>
          <w:sz w:val="28"/>
        </w:rPr>
        <w:t>Operations</w:t>
      </w:r>
      <w:r w:rsidR="00280522">
        <w:rPr>
          <w:b/>
          <w:sz w:val="28"/>
        </w:rPr>
        <w:t xml:space="preserve"> on </w:t>
      </w:r>
      <w:r w:rsidR="00FF7028">
        <w:rPr>
          <w:b/>
          <w:sz w:val="28"/>
        </w:rPr>
        <w:t>Quotes</w:t>
      </w:r>
    </w:p>
    <w:p w14:paraId="497DEAAB" w14:textId="77777777" w:rsidR="00FF7028" w:rsidRPr="00FF7028" w:rsidRDefault="00FF7028" w:rsidP="00FF7028">
      <w:pPr>
        <w:tabs>
          <w:tab w:val="left" w:pos="10530"/>
        </w:tabs>
        <w:ind w:left="720" w:right="486"/>
        <w:jc w:val="both"/>
        <w:rPr>
          <w:b/>
          <w:sz w:val="28"/>
        </w:rPr>
      </w:pPr>
    </w:p>
    <w:p w14:paraId="5426320B" w14:textId="0DF75A36" w:rsidR="00115682" w:rsidRDefault="00115682" w:rsidP="00115682">
      <w:pPr>
        <w:pStyle w:val="ListParagraph"/>
        <w:numPr>
          <w:ilvl w:val="0"/>
          <w:numId w:val="4"/>
        </w:numPr>
        <w:tabs>
          <w:tab w:val="left" w:pos="10530"/>
        </w:tabs>
        <w:ind w:right="486"/>
        <w:jc w:val="both"/>
        <w:rPr>
          <w:sz w:val="28"/>
        </w:rPr>
      </w:pPr>
      <w:r w:rsidRPr="00115682">
        <w:rPr>
          <w:sz w:val="28"/>
        </w:rPr>
        <w:t xml:space="preserve">List </w:t>
      </w:r>
      <w:r w:rsidR="005B5304">
        <w:rPr>
          <w:sz w:val="28"/>
        </w:rPr>
        <w:t>quotes</w:t>
      </w:r>
    </w:p>
    <w:p w14:paraId="530078FA" w14:textId="47798BD4"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list </w:t>
      </w:r>
      <w:r w:rsidR="005B5304">
        <w:rPr>
          <w:sz w:val="28"/>
        </w:rPr>
        <w:t>quotes</w:t>
      </w:r>
      <w:r w:rsidR="00EF6C06" w:rsidRPr="00115682">
        <w:rPr>
          <w:sz w:val="28"/>
        </w:rPr>
        <w:t xml:space="preserve"> </w:t>
      </w:r>
      <w:r w:rsidRPr="00115682">
        <w:rPr>
          <w:sz w:val="28"/>
        </w:rPr>
        <w:t>entities</w:t>
      </w:r>
    </w:p>
    <w:p w14:paraId="585AC02A" w14:textId="4083DB54" w:rsidR="00115682" w:rsidRDefault="00115682" w:rsidP="00115682">
      <w:pPr>
        <w:pStyle w:val="ListParagraph"/>
        <w:numPr>
          <w:ilvl w:val="0"/>
          <w:numId w:val="4"/>
        </w:numPr>
        <w:tabs>
          <w:tab w:val="left" w:pos="10530"/>
        </w:tabs>
        <w:ind w:right="486"/>
        <w:jc w:val="both"/>
        <w:rPr>
          <w:sz w:val="28"/>
        </w:rPr>
      </w:pPr>
      <w:r w:rsidRPr="00115682">
        <w:rPr>
          <w:sz w:val="28"/>
        </w:rPr>
        <w:t xml:space="preserve">Retrieve </w:t>
      </w:r>
      <w:r w:rsidR="005B5304">
        <w:rPr>
          <w:sz w:val="28"/>
        </w:rPr>
        <w:t>quote</w:t>
      </w:r>
    </w:p>
    <w:p w14:paraId="2826A69D" w14:textId="17A34912" w:rsidR="00115682" w:rsidRPr="00115682" w:rsidRDefault="00115682" w:rsidP="00115682">
      <w:pPr>
        <w:pStyle w:val="ListParagraph"/>
        <w:numPr>
          <w:ilvl w:val="1"/>
          <w:numId w:val="4"/>
        </w:numPr>
        <w:tabs>
          <w:tab w:val="left" w:pos="10530"/>
        </w:tabs>
        <w:ind w:right="486"/>
        <w:jc w:val="both"/>
        <w:rPr>
          <w:sz w:val="28"/>
        </w:rPr>
      </w:pPr>
      <w:r w:rsidRPr="00115682">
        <w:rPr>
          <w:sz w:val="28"/>
        </w:rPr>
        <w:t xml:space="preserve">This operation retrieves a </w:t>
      </w:r>
      <w:r w:rsidR="005B5304">
        <w:rPr>
          <w:sz w:val="28"/>
        </w:rPr>
        <w:t>quote</w:t>
      </w:r>
      <w:r w:rsidR="005B5304" w:rsidRPr="00115682">
        <w:rPr>
          <w:sz w:val="28"/>
        </w:rPr>
        <w:t xml:space="preserve"> </w:t>
      </w:r>
      <w:r w:rsidRPr="00115682">
        <w:rPr>
          <w:sz w:val="28"/>
        </w:rPr>
        <w:t>entity</w:t>
      </w:r>
    </w:p>
    <w:p w14:paraId="1EC60C2F" w14:textId="4D0DBCAD" w:rsidR="001960BF" w:rsidRDefault="00115682" w:rsidP="001960BF">
      <w:pPr>
        <w:pStyle w:val="ListParagraph"/>
        <w:numPr>
          <w:ilvl w:val="0"/>
          <w:numId w:val="4"/>
        </w:numPr>
        <w:tabs>
          <w:tab w:val="left" w:pos="10530"/>
        </w:tabs>
        <w:ind w:right="486"/>
        <w:jc w:val="both"/>
        <w:rPr>
          <w:sz w:val="28"/>
        </w:rPr>
      </w:pPr>
      <w:r w:rsidRPr="001960BF">
        <w:rPr>
          <w:sz w:val="28"/>
        </w:rPr>
        <w:t>Create</w:t>
      </w:r>
      <w:r w:rsidR="001960BF" w:rsidRPr="001960BF">
        <w:rPr>
          <w:sz w:val="28"/>
        </w:rPr>
        <w:t xml:space="preserve"> </w:t>
      </w:r>
      <w:r w:rsidR="005B5304">
        <w:rPr>
          <w:sz w:val="28"/>
        </w:rPr>
        <w:t>quote</w:t>
      </w:r>
    </w:p>
    <w:p w14:paraId="62D5EB0E" w14:textId="041D1B20" w:rsidR="00115682" w:rsidRPr="001960BF" w:rsidRDefault="00115682" w:rsidP="00214B15">
      <w:pPr>
        <w:pStyle w:val="ListParagraph"/>
        <w:numPr>
          <w:ilvl w:val="1"/>
          <w:numId w:val="4"/>
        </w:numPr>
        <w:tabs>
          <w:tab w:val="left" w:pos="10530"/>
        </w:tabs>
        <w:ind w:right="486"/>
        <w:jc w:val="both"/>
        <w:rPr>
          <w:sz w:val="28"/>
        </w:rPr>
      </w:pPr>
      <w:r w:rsidRPr="001960BF">
        <w:rPr>
          <w:sz w:val="28"/>
        </w:rPr>
        <w:t xml:space="preserve">This operation creates a </w:t>
      </w:r>
      <w:r w:rsidR="005B5304">
        <w:rPr>
          <w:sz w:val="28"/>
        </w:rPr>
        <w:t>quote</w:t>
      </w:r>
      <w:r w:rsidR="005B5304" w:rsidRPr="001960BF">
        <w:rPr>
          <w:sz w:val="28"/>
        </w:rPr>
        <w:t xml:space="preserve"> </w:t>
      </w:r>
      <w:r w:rsidRPr="001960BF">
        <w:rPr>
          <w:sz w:val="28"/>
        </w:rPr>
        <w:t>entity</w:t>
      </w:r>
    </w:p>
    <w:p w14:paraId="08A5FFB0" w14:textId="64E6FA70" w:rsidR="001960BF" w:rsidRDefault="001960BF" w:rsidP="001960BF">
      <w:pPr>
        <w:pStyle w:val="ListParagraph"/>
        <w:numPr>
          <w:ilvl w:val="0"/>
          <w:numId w:val="4"/>
        </w:numPr>
        <w:tabs>
          <w:tab w:val="left" w:pos="10530"/>
        </w:tabs>
        <w:ind w:right="486"/>
        <w:jc w:val="both"/>
        <w:rPr>
          <w:sz w:val="28"/>
        </w:rPr>
      </w:pPr>
      <w:r>
        <w:rPr>
          <w:sz w:val="28"/>
        </w:rPr>
        <w:t>Patch</w:t>
      </w:r>
      <w:r w:rsidRPr="001960BF">
        <w:rPr>
          <w:sz w:val="28"/>
        </w:rPr>
        <w:t xml:space="preserve"> </w:t>
      </w:r>
      <w:r w:rsidR="005B5304">
        <w:rPr>
          <w:sz w:val="28"/>
        </w:rPr>
        <w:t>quote</w:t>
      </w:r>
    </w:p>
    <w:p w14:paraId="4EFAE5E8" w14:textId="052858D0" w:rsidR="001960BF" w:rsidRPr="001960BF" w:rsidRDefault="001960BF" w:rsidP="001960BF">
      <w:pPr>
        <w:pStyle w:val="ListParagraph"/>
        <w:numPr>
          <w:ilvl w:val="1"/>
          <w:numId w:val="4"/>
        </w:numPr>
        <w:tabs>
          <w:tab w:val="left" w:pos="10530"/>
        </w:tabs>
        <w:ind w:right="486"/>
        <w:jc w:val="both"/>
        <w:rPr>
          <w:sz w:val="28"/>
        </w:rPr>
      </w:pPr>
      <w:r w:rsidRPr="001960BF">
        <w:rPr>
          <w:sz w:val="28"/>
        </w:rPr>
        <w:t xml:space="preserve">This operation </w:t>
      </w:r>
      <w:r w:rsidR="00024E7B">
        <w:rPr>
          <w:sz w:val="28"/>
        </w:rPr>
        <w:t>allows partial updates of</w:t>
      </w:r>
      <w:r w:rsidRPr="001960BF">
        <w:rPr>
          <w:sz w:val="28"/>
        </w:rPr>
        <w:t xml:space="preserve"> </w:t>
      </w:r>
      <w:r w:rsidR="00024E7B">
        <w:rPr>
          <w:sz w:val="28"/>
        </w:rPr>
        <w:t>a</w:t>
      </w:r>
      <w:r w:rsidRPr="001960BF">
        <w:rPr>
          <w:sz w:val="28"/>
        </w:rPr>
        <w:t xml:space="preserve"> </w:t>
      </w:r>
      <w:r w:rsidR="005B5304">
        <w:rPr>
          <w:sz w:val="28"/>
        </w:rPr>
        <w:t xml:space="preserve">quote </w:t>
      </w:r>
      <w:r w:rsidRPr="001960BF">
        <w:rPr>
          <w:sz w:val="28"/>
        </w:rPr>
        <w:t>entity</w:t>
      </w:r>
    </w:p>
    <w:p w14:paraId="12F04F54" w14:textId="67AA6B4C" w:rsidR="005B5304" w:rsidRDefault="005B5304" w:rsidP="005B5304">
      <w:pPr>
        <w:pStyle w:val="ListParagraph"/>
        <w:numPr>
          <w:ilvl w:val="0"/>
          <w:numId w:val="4"/>
        </w:numPr>
        <w:tabs>
          <w:tab w:val="left" w:pos="10530"/>
        </w:tabs>
        <w:ind w:right="486"/>
        <w:jc w:val="both"/>
        <w:rPr>
          <w:sz w:val="28"/>
        </w:rPr>
      </w:pPr>
      <w:r>
        <w:rPr>
          <w:sz w:val="28"/>
        </w:rPr>
        <w:t>Delete</w:t>
      </w:r>
      <w:r w:rsidRPr="001960BF">
        <w:rPr>
          <w:sz w:val="28"/>
        </w:rPr>
        <w:t xml:space="preserve"> </w:t>
      </w:r>
      <w:r>
        <w:rPr>
          <w:sz w:val="28"/>
        </w:rPr>
        <w:t>quote</w:t>
      </w:r>
    </w:p>
    <w:p w14:paraId="282017AB" w14:textId="77E3C73A" w:rsidR="005B5304" w:rsidRPr="001960BF" w:rsidRDefault="005B5304" w:rsidP="005B5304">
      <w:pPr>
        <w:pStyle w:val="ListParagraph"/>
        <w:numPr>
          <w:ilvl w:val="1"/>
          <w:numId w:val="4"/>
        </w:numPr>
        <w:tabs>
          <w:tab w:val="left" w:pos="10530"/>
        </w:tabs>
        <w:ind w:right="486"/>
        <w:jc w:val="both"/>
        <w:rPr>
          <w:sz w:val="28"/>
        </w:rPr>
      </w:pPr>
      <w:r w:rsidRPr="001960BF">
        <w:rPr>
          <w:sz w:val="28"/>
        </w:rPr>
        <w:t xml:space="preserve">This operation </w:t>
      </w:r>
      <w:r>
        <w:rPr>
          <w:sz w:val="28"/>
        </w:rPr>
        <w:t>deletes a</w:t>
      </w:r>
      <w:r w:rsidRPr="001960BF">
        <w:rPr>
          <w:sz w:val="28"/>
        </w:rPr>
        <w:t xml:space="preserve"> </w:t>
      </w:r>
      <w:r>
        <w:rPr>
          <w:sz w:val="28"/>
        </w:rPr>
        <w:t xml:space="preserve">quote </w:t>
      </w:r>
      <w:r w:rsidRPr="001960BF">
        <w:rPr>
          <w:sz w:val="28"/>
        </w:rPr>
        <w:t>entity</w:t>
      </w:r>
    </w:p>
    <w:p w14:paraId="7238BFE7" w14:textId="190825DF" w:rsidR="00742512" w:rsidRDefault="00742512">
      <w:pPr>
        <w:rPr>
          <w:sz w:val="32"/>
        </w:rPr>
      </w:pPr>
      <w:r>
        <w:rPr>
          <w:sz w:val="32"/>
        </w:rPr>
        <w:br w:type="page"/>
      </w: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40C9D5EA" w14:textId="77777777" w:rsidR="004866E9" w:rsidRPr="008C536F" w:rsidRDefault="004866E9" w:rsidP="008C536F">
      <w:pPr>
        <w:ind w:left="709"/>
        <w:rPr>
          <w:sz w:val="32"/>
        </w:rPr>
      </w:pPr>
    </w:p>
    <w:p w14:paraId="7742FD56" w14:textId="6BD09735" w:rsidR="00780631" w:rsidRPr="008C536F" w:rsidRDefault="00780631" w:rsidP="008C536F">
      <w:pPr>
        <w:ind w:left="709"/>
        <w:rPr>
          <w:sz w:val="32"/>
        </w:rPr>
      </w:pPr>
    </w:p>
    <w:bookmarkEnd w:id="2"/>
    <w:bookmarkEnd w:id="3"/>
    <w:p w14:paraId="37C4626D" w14:textId="1ED619D7" w:rsidR="004323D5" w:rsidRDefault="00FA57A5" w:rsidP="008C536F">
      <w:pPr>
        <w:ind w:left="709"/>
        <w:rPr>
          <w:sz w:val="32"/>
        </w:rPr>
      </w:pPr>
      <w:r>
        <w:rPr>
          <w:noProof/>
          <w:lang w:val="en-IN" w:eastAsia="en-IN"/>
        </w:rPr>
        <w:drawing>
          <wp:inline distT="0" distB="0" distL="0" distR="0" wp14:anchorId="2AFE23EA" wp14:editId="5E4BD924">
            <wp:extent cx="6480810" cy="3306345"/>
            <wp:effectExtent l="0" t="0" r="0" b="889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8383" cy="3310209"/>
                    </a:xfrm>
                    <a:prstGeom prst="rect">
                      <a:avLst/>
                    </a:prstGeom>
                  </pic:spPr>
                </pic:pic>
              </a:graphicData>
            </a:graphic>
          </wp:inline>
        </w:drawing>
      </w:r>
    </w:p>
    <w:p w14:paraId="16AA05D4" w14:textId="13AE5CC0" w:rsidR="00742512" w:rsidRDefault="00742512" w:rsidP="008C536F">
      <w:pPr>
        <w:ind w:left="709"/>
        <w:rPr>
          <w:sz w:val="32"/>
        </w:rPr>
      </w:pPr>
    </w:p>
    <w:p w14:paraId="0AF30030" w14:textId="3415DEB3" w:rsidR="00742512" w:rsidRPr="008C536F" w:rsidRDefault="00742512" w:rsidP="00742512">
      <w:pPr>
        <w:pStyle w:val="ListParagraph"/>
        <w:numPr>
          <w:ilvl w:val="0"/>
          <w:numId w:val="1"/>
        </w:numPr>
        <w:ind w:left="709" w:firstLine="0"/>
        <w:rPr>
          <w:b/>
          <w:bCs/>
          <w:sz w:val="36"/>
          <w:lang w:bidi="en-US"/>
        </w:rPr>
      </w:pPr>
      <w:r>
        <w:rPr>
          <w:b/>
          <w:bCs/>
          <w:sz w:val="36"/>
          <w:lang w:bidi="en-US"/>
        </w:rPr>
        <w:t>Test Results</w:t>
      </w:r>
    </w:p>
    <w:p w14:paraId="2328F736" w14:textId="75A094B3" w:rsidR="00742512" w:rsidRDefault="00742512" w:rsidP="008C536F">
      <w:pPr>
        <w:ind w:left="709"/>
        <w:rPr>
          <w:sz w:val="32"/>
        </w:rPr>
      </w:pPr>
    </w:p>
    <w:p w14:paraId="2C759F2C" w14:textId="5208DAED" w:rsidR="00742512" w:rsidRPr="008C536F" w:rsidRDefault="00742512" w:rsidP="00742512">
      <w:pPr>
        <w:ind w:left="709"/>
        <w:jc w:val="center"/>
        <w:rPr>
          <w:sz w:val="32"/>
        </w:rPr>
      </w:pPr>
      <w:r>
        <w:rPr>
          <w:sz w:val="32"/>
        </w:rPr>
        <w:object w:dxaOrig="1531" w:dyaOrig="994" w14:anchorId="602C7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5pt;height:49.7pt" o:ole="">
            <v:imagedata r:id="rId10" o:title=""/>
          </v:shape>
          <o:OLEObject Type="Embed" ProgID="Package" ShapeID="_x0000_i1027" DrawAspect="Icon" ObjectID="_1695729499" r:id="rId11"/>
        </w:object>
      </w:r>
    </w:p>
    <w:sectPr w:rsidR="00742512" w:rsidRPr="008C536F" w:rsidSect="00BE3149">
      <w:headerReference w:type="default" r:id="rId12"/>
      <w:footerReference w:type="default" r:id="rId13"/>
      <w:headerReference w:type="first" r:id="rId14"/>
      <w:footerReference w:type="first" r:id="rId15"/>
      <w:pgSz w:w="11906" w:h="16838" w:code="9"/>
      <w:pgMar w:top="1701" w:right="567" w:bottom="1134" w:left="567" w:header="0" w:footer="3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7E81" w14:textId="77777777" w:rsidR="004C3E47" w:rsidRDefault="004C3E47" w:rsidP="004323D5">
      <w:r>
        <w:separator/>
      </w:r>
    </w:p>
  </w:endnote>
  <w:endnote w:type="continuationSeparator" w:id="0">
    <w:p w14:paraId="3586214C" w14:textId="77777777" w:rsidR="004C3E47" w:rsidRDefault="004C3E47"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64AB6688" w:rsidR="009219E2" w:rsidRPr="000C45B9" w:rsidRDefault="009219E2" w:rsidP="00742512">
    <w:pPr>
      <w:pStyle w:val="Footer"/>
      <w:tabs>
        <w:tab w:val="left" w:pos="3828"/>
      </w:tabs>
      <w:ind w:left="142"/>
      <w:rPr>
        <w:rFonts w:cs="Calibri"/>
        <w:color w:val="262626"/>
      </w:rPr>
    </w:pPr>
    <w:r w:rsidRPr="000C45B9">
      <w:rPr>
        <w:rFonts w:cs="Calibri"/>
        <w:color w:val="262626"/>
      </w:rPr>
      <w:t xml:space="preserve">© TM Forum </w:t>
    </w:r>
    <w:r w:rsidR="00282704">
      <w:rPr>
        <w:rFonts w:cs="Calibri"/>
        <w:color w:val="262626"/>
      </w:rPr>
      <w:t>20</w:t>
    </w:r>
    <w:r w:rsidR="00742512">
      <w:rPr>
        <w:rFonts w:cs="Calibri"/>
        <w:color w:val="262626"/>
      </w:rPr>
      <w:t>2</w:t>
    </w:r>
    <w:r w:rsidR="00282704">
      <w:rPr>
        <w:rFonts w:cs="Calibri"/>
        <w:color w:val="262626"/>
      </w:rPr>
      <w:t>1</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sidRPr="000C45B9">
      <w:rPr>
        <w:rFonts w:cs="Calibri"/>
        <w:color w:val="262626"/>
      </w:rPr>
      <w:t xml:space="preserve"> </w:t>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D1431F">
      <w:rPr>
        <w:rStyle w:val="PageNumber"/>
        <w:rFonts w:cs="Calibri"/>
        <w:noProof/>
        <w:color w:val="262626"/>
      </w:rPr>
      <w:t>0</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D1431F">
      <w:rPr>
        <w:rStyle w:val="PageNumber"/>
        <w:rFonts w:cs="Calibri"/>
        <w:noProof/>
        <w:color w:val="262626"/>
      </w:rPr>
      <w:t>3</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85F" w14:textId="1A38FEE5"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00742512">
      <w:rPr>
        <w:rFonts w:ascii="Calibri" w:hAnsi="Calibri" w:cs="Calibri"/>
        <w:sz w:val="18"/>
        <w:szCs w:val="18"/>
      </w:rPr>
      <w:t xml:space="preserve"> </w:t>
    </w:r>
    <w:r w:rsidRPr="000C45B9">
      <w:rPr>
        <w:rFonts w:ascii="Calibri" w:hAnsi="Calibri" w:cs="Calibri"/>
        <w:sz w:val="18"/>
        <w:szCs w:val="18"/>
      </w:rPr>
      <w:t xml:space="preserve">TM Forum </w:t>
    </w:r>
    <w:r w:rsidR="00282704">
      <w:rPr>
        <w:rFonts w:ascii="Calibri" w:hAnsi="Calibri" w:cs="Calibri"/>
        <w:sz w:val="18"/>
        <w:szCs w:val="18"/>
      </w:rPr>
      <w:t>20</w:t>
    </w:r>
    <w:r w:rsidR="00742512">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9D67" w14:textId="77777777" w:rsidR="004C3E47" w:rsidRDefault="004C3E47" w:rsidP="004323D5">
      <w:r>
        <w:separator/>
      </w:r>
    </w:p>
  </w:footnote>
  <w:footnote w:type="continuationSeparator" w:id="0">
    <w:p w14:paraId="0A775D91" w14:textId="77777777" w:rsidR="004C3E47" w:rsidRDefault="004C3E47"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BF81" w14:textId="77777777" w:rsidR="00742512" w:rsidRDefault="00742512" w:rsidP="00742512">
    <w:pPr>
      <w:pBdr>
        <w:top w:val="nil"/>
        <w:left w:val="nil"/>
        <w:bottom w:val="nil"/>
        <w:right w:val="nil"/>
        <w:between w:val="nil"/>
      </w:pBdr>
      <w:tabs>
        <w:tab w:val="center" w:pos="4153"/>
        <w:tab w:val="right" w:pos="8306"/>
      </w:tabs>
      <w:rPr>
        <w:color w:val="000000"/>
      </w:rPr>
    </w:pPr>
  </w:p>
  <w:p w14:paraId="46B18138" w14:textId="77777777" w:rsidR="00742512" w:rsidRDefault="00742512" w:rsidP="00742512">
    <w:pPr>
      <w:pBdr>
        <w:top w:val="nil"/>
        <w:left w:val="nil"/>
        <w:bottom w:val="nil"/>
        <w:right w:val="nil"/>
        <w:between w:val="nil"/>
      </w:pBdr>
      <w:tabs>
        <w:tab w:val="center" w:pos="4153"/>
        <w:tab w:val="right" w:pos="8306"/>
      </w:tabs>
      <w:rPr>
        <w:color w:val="000000"/>
      </w:rPr>
    </w:pPr>
  </w:p>
  <w:p w14:paraId="22B71484" w14:textId="77777777" w:rsidR="00742512" w:rsidRDefault="00742512" w:rsidP="00742512">
    <w:pPr>
      <w:pBdr>
        <w:top w:val="nil"/>
        <w:left w:val="nil"/>
        <w:bottom w:val="nil"/>
        <w:right w:val="nil"/>
        <w:between w:val="nil"/>
      </w:pBdr>
      <w:tabs>
        <w:tab w:val="center" w:pos="4153"/>
        <w:tab w:val="right" w:pos="8306"/>
      </w:tabs>
      <w:ind w:right="-567"/>
      <w:rPr>
        <w:color w:val="000000"/>
      </w:rPr>
    </w:pPr>
    <w:r>
      <w:rPr>
        <w:noProof/>
        <w:lang w:eastAsia="zh-CN"/>
      </w:rPr>
      <w:drawing>
        <wp:anchor distT="0" distB="0" distL="114300" distR="114300" simplePos="0" relativeHeight="251665408" behindDoc="1" locked="0" layoutInCell="1" allowOverlap="1" wp14:anchorId="2340C782" wp14:editId="169B7E8D">
          <wp:simplePos x="0" y="0"/>
          <wp:positionH relativeFrom="margin">
            <wp:align>right</wp:align>
          </wp:positionH>
          <wp:positionV relativeFrom="paragraph">
            <wp:posOffset>13970</wp:posOffset>
          </wp:positionV>
          <wp:extent cx="1276985" cy="266700"/>
          <wp:effectExtent l="0" t="0" r="0" b="0"/>
          <wp:wrapTight wrapText="bothSides">
            <wp:wrapPolygon edited="0">
              <wp:start x="0" y="0"/>
              <wp:lineTo x="0" y="20057"/>
              <wp:lineTo x="21267" y="20057"/>
              <wp:lineTo x="2126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Pr>
        <w:color w:val="000000"/>
      </w:rPr>
      <w:t>TM Forum Open APIs</w:t>
    </w:r>
  </w:p>
  <w:p w14:paraId="649AD741" w14:textId="77777777" w:rsidR="00742512" w:rsidRDefault="00742512" w:rsidP="00742512">
    <w:pPr>
      <w:pBdr>
        <w:top w:val="nil"/>
        <w:left w:val="nil"/>
        <w:bottom w:val="nil"/>
        <w:right w:val="nil"/>
        <w:between w:val="nil"/>
      </w:pBdr>
      <w:tabs>
        <w:tab w:val="center" w:pos="4153"/>
        <w:tab w:val="right" w:pos="8306"/>
      </w:tabs>
      <w:ind w:right="-567"/>
      <w:rPr>
        <w:color w:val="000000"/>
      </w:rPr>
    </w:pPr>
    <w:r>
      <w:rPr>
        <w:color w:val="000000"/>
      </w:rPr>
      <w:t>Conformance Certification</w:t>
    </w:r>
  </w:p>
  <w:p w14:paraId="72DDF524" w14:textId="39746CF3" w:rsidR="00B00710" w:rsidRDefault="004C3E47" w:rsidP="00B00710">
    <w:pPr>
      <w:pStyle w:val="Header"/>
      <w:rPr>
        <w:rFonts w:cs="Calibri"/>
      </w:rPr>
    </w:pPr>
    <w:r>
      <w:rPr>
        <w:noProof/>
        <w:lang w:val="en-IN" w:eastAsia="en-IN"/>
      </w:rPr>
      <w:pict w14:anchorId="5EB6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1025" type="#_x0000_t136" style="position:absolute;margin-left:0;margin-top:-415.85pt;width:406.1pt;height:38.65pt;rotation:315;z-index:251663360;mso-position-horizontal:center;mso-position-horizontal-relative:margin;mso-position-vertical-relative:margin" fillcolor="silver" stroked="f">
          <v:fill opacity=".5"/>
          <v:stroke r:id="rId2" o:title=""/>
          <v:shadow color="#868686"/>
          <v:textpath style="font-family:&quot;Times New Roman&quot;;font-size:1pt;v-text-kern:t" trim="t" fitpath="t" string="COMVIVA CONFIDENTIAL"/>
          <o:lock v:ext="edit" aspectratio="t"/>
          <w10:wrap anchorx="margin" anchory="margin"/>
        </v:shape>
      </w:pict>
    </w:r>
  </w:p>
  <w:p w14:paraId="043E31AB" w14:textId="49DD0A3E" w:rsidR="00B00710" w:rsidRDefault="00B00710" w:rsidP="00B00710">
    <w:pPr>
      <w:pStyle w:val="Header"/>
      <w:rPr>
        <w:rFonts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D949D3A" w:rsidR="00C96C60" w:rsidRDefault="00C96C60">
    <w:pPr>
      <w:pStyle w:val="Header"/>
    </w:pPr>
    <w:r>
      <w:rPr>
        <w:noProof/>
        <w:lang w:val="en-IN" w:eastAsia="en-IN"/>
      </w:rPr>
      <w:drawing>
        <wp:anchor distT="0" distB="0" distL="114300" distR="114300" simplePos="0" relativeHeight="251659264" behindDoc="1" locked="0" layoutInCell="1" allowOverlap="1" wp14:anchorId="533BA209" wp14:editId="717608BE">
          <wp:simplePos x="0" y="0"/>
          <wp:positionH relativeFrom="margin">
            <wp:align>right</wp:align>
          </wp:positionH>
          <wp:positionV relativeFrom="paragraph">
            <wp:posOffset>267970</wp:posOffset>
          </wp:positionV>
          <wp:extent cx="1617558" cy="359037"/>
          <wp:effectExtent l="0" t="0" r="190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805"/>
    <w:multiLevelType w:val="hybridMultilevel"/>
    <w:tmpl w:val="3D6E0FAC"/>
    <w:lvl w:ilvl="0" w:tplc="C7BE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2A8607D"/>
    <w:multiLevelType w:val="hybridMultilevel"/>
    <w:tmpl w:val="A7DAED4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EF449B"/>
    <w:multiLevelType w:val="hybridMultilevel"/>
    <w:tmpl w:val="7B4C91C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468C"/>
    <w:rsid w:val="00024E7B"/>
    <w:rsid w:val="000501A2"/>
    <w:rsid w:val="0005179D"/>
    <w:rsid w:val="00056045"/>
    <w:rsid w:val="00056782"/>
    <w:rsid w:val="000A03EC"/>
    <w:rsid w:val="000C73E3"/>
    <w:rsid w:val="000D0F4B"/>
    <w:rsid w:val="000D6112"/>
    <w:rsid w:val="00115682"/>
    <w:rsid w:val="00123DAB"/>
    <w:rsid w:val="00134635"/>
    <w:rsid w:val="0014681A"/>
    <w:rsid w:val="0015714B"/>
    <w:rsid w:val="001960BF"/>
    <w:rsid w:val="00197D78"/>
    <w:rsid w:val="001A18F1"/>
    <w:rsid w:val="00205F71"/>
    <w:rsid w:val="00214B11"/>
    <w:rsid w:val="0021727A"/>
    <w:rsid w:val="00264E0A"/>
    <w:rsid w:val="00265554"/>
    <w:rsid w:val="00280522"/>
    <w:rsid w:val="00282704"/>
    <w:rsid w:val="002A0CBB"/>
    <w:rsid w:val="002A78CE"/>
    <w:rsid w:val="002D7080"/>
    <w:rsid w:val="002F7410"/>
    <w:rsid w:val="003063D6"/>
    <w:rsid w:val="00341814"/>
    <w:rsid w:val="00344C8A"/>
    <w:rsid w:val="00382933"/>
    <w:rsid w:val="003C5139"/>
    <w:rsid w:val="00412623"/>
    <w:rsid w:val="004323D5"/>
    <w:rsid w:val="00435968"/>
    <w:rsid w:val="00463606"/>
    <w:rsid w:val="00483233"/>
    <w:rsid w:val="004866E9"/>
    <w:rsid w:val="00490968"/>
    <w:rsid w:val="004A1689"/>
    <w:rsid w:val="004B1BC9"/>
    <w:rsid w:val="004B6AB9"/>
    <w:rsid w:val="004C3E47"/>
    <w:rsid w:val="004F1001"/>
    <w:rsid w:val="0050233A"/>
    <w:rsid w:val="00512714"/>
    <w:rsid w:val="00513481"/>
    <w:rsid w:val="005630A5"/>
    <w:rsid w:val="00565176"/>
    <w:rsid w:val="00592CF4"/>
    <w:rsid w:val="005B5304"/>
    <w:rsid w:val="005B7713"/>
    <w:rsid w:val="00604A2B"/>
    <w:rsid w:val="00636599"/>
    <w:rsid w:val="00656B7C"/>
    <w:rsid w:val="006B1B20"/>
    <w:rsid w:val="006D53C4"/>
    <w:rsid w:val="00720E69"/>
    <w:rsid w:val="00721988"/>
    <w:rsid w:val="00727591"/>
    <w:rsid w:val="00727C91"/>
    <w:rsid w:val="007412DF"/>
    <w:rsid w:val="00742512"/>
    <w:rsid w:val="0074356D"/>
    <w:rsid w:val="00780631"/>
    <w:rsid w:val="007A277D"/>
    <w:rsid w:val="007C5CB1"/>
    <w:rsid w:val="007E6652"/>
    <w:rsid w:val="00801167"/>
    <w:rsid w:val="008219F8"/>
    <w:rsid w:val="008253D5"/>
    <w:rsid w:val="00834582"/>
    <w:rsid w:val="00873B5C"/>
    <w:rsid w:val="008933AA"/>
    <w:rsid w:val="008935E2"/>
    <w:rsid w:val="008A759E"/>
    <w:rsid w:val="008B428C"/>
    <w:rsid w:val="008C536F"/>
    <w:rsid w:val="008D2DCE"/>
    <w:rsid w:val="008E5503"/>
    <w:rsid w:val="008F03C6"/>
    <w:rsid w:val="008F7965"/>
    <w:rsid w:val="0090010B"/>
    <w:rsid w:val="0090244B"/>
    <w:rsid w:val="00921306"/>
    <w:rsid w:val="009219E2"/>
    <w:rsid w:val="00923299"/>
    <w:rsid w:val="00951EEA"/>
    <w:rsid w:val="009761B4"/>
    <w:rsid w:val="009B1AB5"/>
    <w:rsid w:val="009B3802"/>
    <w:rsid w:val="009C5DED"/>
    <w:rsid w:val="009F220B"/>
    <w:rsid w:val="009F64BE"/>
    <w:rsid w:val="00A04681"/>
    <w:rsid w:val="00A0744C"/>
    <w:rsid w:val="00A75ED4"/>
    <w:rsid w:val="00A77BAC"/>
    <w:rsid w:val="00AE0285"/>
    <w:rsid w:val="00B00710"/>
    <w:rsid w:val="00B04A38"/>
    <w:rsid w:val="00B04CD6"/>
    <w:rsid w:val="00B60C3D"/>
    <w:rsid w:val="00B957FC"/>
    <w:rsid w:val="00BA3364"/>
    <w:rsid w:val="00BD230C"/>
    <w:rsid w:val="00BE3149"/>
    <w:rsid w:val="00C104DF"/>
    <w:rsid w:val="00C24BFF"/>
    <w:rsid w:val="00C62157"/>
    <w:rsid w:val="00C63594"/>
    <w:rsid w:val="00C96C60"/>
    <w:rsid w:val="00C9779E"/>
    <w:rsid w:val="00CA53B2"/>
    <w:rsid w:val="00CB7786"/>
    <w:rsid w:val="00CC2BF6"/>
    <w:rsid w:val="00CD18B2"/>
    <w:rsid w:val="00CF414E"/>
    <w:rsid w:val="00D1431F"/>
    <w:rsid w:val="00D370A8"/>
    <w:rsid w:val="00D47A60"/>
    <w:rsid w:val="00D86151"/>
    <w:rsid w:val="00DA3363"/>
    <w:rsid w:val="00DB2CC3"/>
    <w:rsid w:val="00DB48A9"/>
    <w:rsid w:val="00DC519E"/>
    <w:rsid w:val="00DE6BFF"/>
    <w:rsid w:val="00DF0FE0"/>
    <w:rsid w:val="00DF70DD"/>
    <w:rsid w:val="00E01871"/>
    <w:rsid w:val="00E35059"/>
    <w:rsid w:val="00E41A5D"/>
    <w:rsid w:val="00E56110"/>
    <w:rsid w:val="00E66B66"/>
    <w:rsid w:val="00E959F6"/>
    <w:rsid w:val="00EC46DA"/>
    <w:rsid w:val="00ED2D0A"/>
    <w:rsid w:val="00ED55C3"/>
    <w:rsid w:val="00EE1557"/>
    <w:rsid w:val="00EF6C06"/>
    <w:rsid w:val="00F24D71"/>
    <w:rsid w:val="00F478B1"/>
    <w:rsid w:val="00F801E1"/>
    <w:rsid w:val="00F83B13"/>
    <w:rsid w:val="00F922B0"/>
    <w:rsid w:val="00FA57A5"/>
    <w:rsid w:val="00FE6562"/>
    <w:rsid w:val="00FE6987"/>
    <w:rsid w:val="00FF4D85"/>
    <w:rsid w:val="00FF702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512"/>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DB2CC3"/>
    <w:pPr>
      <w:widowControl w:val="0"/>
      <w:autoSpaceDE w:val="0"/>
      <w:autoSpaceDN w:val="0"/>
    </w:pPr>
    <w:rPr>
      <w:rFonts w:eastAsia="Calibri" w:cs="Calibri"/>
      <w:sz w:val="22"/>
      <w:szCs w:val="22"/>
      <w:lang w:bidi="en-US"/>
    </w:rPr>
  </w:style>
  <w:style w:type="character" w:customStyle="1" w:styleId="BodyTextChar">
    <w:name w:val="Body Text Char"/>
    <w:basedOn w:val="DefaultParagraphFont"/>
    <w:link w:val="BodyText"/>
    <w:uiPriority w:val="1"/>
    <w:rsid w:val="00DB2CC3"/>
    <w:rPr>
      <w:rFonts w:ascii="Calibri" w:eastAsia="Calibri" w:hAnsi="Calibri" w:cs="Calibri"/>
      <w:sz w:val="22"/>
      <w:szCs w:val="22"/>
      <w:lang w:val="en-US" w:bidi="en-US"/>
    </w:rPr>
  </w:style>
  <w:style w:type="paragraph" w:styleId="NormalWeb">
    <w:name w:val="Normal (Web)"/>
    <w:basedOn w:val="Normal"/>
    <w:uiPriority w:val="99"/>
    <w:semiHidden/>
    <w:unhideWhenUsed/>
    <w:rsid w:val="00E66B66"/>
    <w:pPr>
      <w:spacing w:before="100" w:beforeAutospacing="1" w:after="100" w:afterAutospacing="1"/>
    </w:pPr>
    <w:rPr>
      <w:rFonts w:ascii="Times New Roman" w:hAnsi="Times New Roman" w:cs="Times New Roman"/>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lassify>
  <SNO>1</SNO>
  <KDate>2020-07-15 17:45:28</KDate>
  <Classification>COMVIVA CONFIDENTIAL</Classification>
  <HostName>MCGL-7242</HostName>
  <Domain_User>COMVIVA/akansha.agarwal</Domain_User>
  <IPAdd>172.16.14.4</IPAdd>
  <FilePath>C:\Users\akansha.agarwal\Desktop\Comviva - API Conformance Certification Report - Account Mangement.docx</FilePath>
  <KID>00059A3C7A00637304319287171397</KID>
  <UniqueName/>
  <Suggested/>
  <Justification/>
</Klassify>
</file>

<file path=customXml/itemProps1.xml><?xml version="1.0" encoding="utf-8"?>
<ds:datastoreItem xmlns:ds="http://schemas.openxmlformats.org/officeDocument/2006/customXml" ds:itemID="{6923D633-ED05-46CF-8597-28043C25FCDE}">
  <ds:schemaRefs>
    <ds:schemaRef ds:uri="http://schemas.openxmlformats.org/officeDocument/2006/bibliography"/>
  </ds:schemaRefs>
</ds:datastoreItem>
</file>

<file path=customXml/itemProps2.xml><?xml version="1.0" encoding="utf-8"?>
<ds:datastoreItem xmlns:ds="http://schemas.openxmlformats.org/officeDocument/2006/customXml" ds:itemID="{13276889-371A-4C57-9E05-464C8EE69564}">
  <ds:schemaRefs/>
</ds:datastoreItem>
</file>

<file path=docProps/app.xml><?xml version="1.0" encoding="utf-8"?>
<Properties xmlns="http://schemas.openxmlformats.org/officeDocument/2006/extended-properties" xmlns:vt="http://schemas.openxmlformats.org/officeDocument/2006/docPropsVTypes">
  <Template>Normal.dotm</Template>
  <TotalTime>8123</TotalTime>
  <Pages>4</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71</cp:revision>
  <dcterms:created xsi:type="dcterms:W3CDTF">2020-07-15T12:16:00Z</dcterms:created>
  <dcterms:modified xsi:type="dcterms:W3CDTF">2021-10-14T13:12:00Z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COMVIVA CONFIDENTIAL</vt:lpwstr>
  </property>
  <property fmtid="{D5CDD505-2E9C-101B-9397-08002B2CF9AE}" pid="3" name="Rules">
    <vt:lpwstr/>
  </property>
  <property fmtid="{D5CDD505-2E9C-101B-9397-08002B2CF9AE}" pid="4" name="KID">
    <vt:lpwstr>00059A3C7A00637304319287171397</vt:lpwstr>
  </property>
</Properties>
</file>