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04BBFFFA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1019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CSG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61878CA" w14:textId="77777777" w:rsidR="00A657F6" w:rsidRPr="00A657F6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nl-NL"/>
            </w:rPr>
          </w:pPr>
          <w:r w:rsidRPr="00A657F6">
            <w:rPr>
              <w:rFonts w:cs="Calibri"/>
              <w:i/>
              <w:color w:val="404040"/>
              <w:sz w:val="40"/>
              <w:szCs w:val="40"/>
              <w:lang w:val="nl-NL"/>
            </w:rPr>
            <w:t>TM Forum Open API Name:</w:t>
          </w:r>
        </w:p>
        <w:p w14:paraId="7128A426" w14:textId="63DEA922" w:rsidR="00BA3364" w:rsidRDefault="00F7495C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Product Inventory</w:t>
          </w:r>
          <w:r w:rsidR="00A1019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Management TMF6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37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5B72A61F" w:rsidR="00BA3364" w:rsidRPr="00BA3364" w:rsidRDefault="00BA3364" w:rsidP="5D651468">
          <w:pPr>
            <w:keepNext/>
            <w:keepLines/>
            <w:spacing w:line="340" w:lineRule="atLeast"/>
            <w:ind w:left="709"/>
            <w:rPr>
              <w:rFonts w:cs="Calibri"/>
              <w:i/>
              <w:iCs/>
              <w:color w:val="404040"/>
              <w:sz w:val="40"/>
              <w:szCs w:val="40"/>
              <w:lang w:val="en-GB"/>
            </w:rPr>
          </w:pPr>
          <w:r w:rsidRPr="5D651468">
            <w:rPr>
              <w:rFonts w:cs="Calibri"/>
              <w:i/>
              <w:iCs/>
              <w:color w:val="404040" w:themeColor="text1" w:themeTint="BF"/>
              <w:sz w:val="40"/>
              <w:szCs w:val="40"/>
              <w:lang w:val="en-GB"/>
            </w:rPr>
            <w:t xml:space="preserve">TM Forum Open API Release Version: </w:t>
          </w:r>
          <w:r w:rsidR="00A1019E" w:rsidRPr="5D651468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>19.0</w:t>
          </w:r>
          <w:r w:rsidR="00A657F6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 xml:space="preserve"> / </w:t>
          </w:r>
          <w:r w:rsidR="00A1019E" w:rsidRPr="5D651468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50BA3B62" w:rsidR="00A657F6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7C2CE3">
            <w:rPr>
              <w:rFonts w:cs="Calibri"/>
              <w:b/>
              <w:color w:val="404040"/>
              <w:sz w:val="36"/>
            </w:rPr>
            <w:t>05</w:t>
          </w:r>
          <w:r w:rsidR="00A1019E">
            <w:rPr>
              <w:rFonts w:cs="Calibri"/>
              <w:b/>
              <w:color w:val="404040"/>
              <w:sz w:val="36"/>
            </w:rPr>
            <w:t>/</w:t>
          </w:r>
          <w:r w:rsidR="007C2CE3">
            <w:rPr>
              <w:rFonts w:cs="Calibri"/>
              <w:b/>
              <w:color w:val="404040"/>
              <w:sz w:val="36"/>
            </w:rPr>
            <w:t>1</w:t>
          </w:r>
          <w:r w:rsidR="00A1019E">
            <w:rPr>
              <w:rFonts w:cs="Calibri"/>
              <w:b/>
              <w:color w:val="404040"/>
              <w:sz w:val="36"/>
            </w:rPr>
            <w:t>0/2021</w:t>
          </w:r>
        </w:p>
        <w:p w14:paraId="59A958A3" w14:textId="6BB7321F" w:rsidR="00C96C60" w:rsidRDefault="00A657F6" w:rsidP="00A657F6"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5CFEA257" w14:textId="77777777" w:rsidR="00A657F6" w:rsidRDefault="001033D5" w:rsidP="00A657F6">
          <w:pPr>
            <w:ind w:left="709"/>
          </w:pPr>
        </w:p>
      </w:sdtContent>
    </w:sdt>
    <w:bookmarkStart w:id="0" w:name="_Toc383691178" w:displacedByCustomXml="prev"/>
    <w:bookmarkStart w:id="1" w:name="_Ref320697427" w:displacedByCustomXml="prev"/>
    <w:p w14:paraId="3A6EE750" w14:textId="2AD23316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DB1DBB5" w14:textId="09C1F576" w:rsidR="004866E9" w:rsidRDefault="004866E9" w:rsidP="008C536F">
      <w:pPr>
        <w:ind w:left="709"/>
        <w:rPr>
          <w:sz w:val="32"/>
        </w:rPr>
      </w:pPr>
    </w:p>
    <w:p w14:paraId="39824466" w14:textId="30C9F37D" w:rsidR="00503339" w:rsidRPr="006916D9" w:rsidRDefault="00503339" w:rsidP="00B52E7B">
      <w:pPr>
        <w:ind w:left="709"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 xml:space="preserve">The flexible, modular capability of CSG </w:t>
      </w: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>—</w:t>
      </w:r>
      <w:r w:rsidR="00933221">
        <w:rPr>
          <w:sz w:val="28"/>
          <w:szCs w:val="28"/>
        </w:rPr>
        <w:t xml:space="preserve">a market leading </w:t>
      </w:r>
      <w:r w:rsidRPr="006916D9">
        <w:rPr>
          <w:sz w:val="28"/>
          <w:szCs w:val="28"/>
        </w:rPr>
        <w:t xml:space="preserve">real-time, charging, billing, </w:t>
      </w:r>
      <w:r w:rsidR="006916D9" w:rsidRPr="006916D9">
        <w:rPr>
          <w:sz w:val="28"/>
          <w:szCs w:val="28"/>
        </w:rPr>
        <w:t>customer,</w:t>
      </w:r>
      <w:r w:rsidRPr="006916D9">
        <w:rPr>
          <w:sz w:val="28"/>
          <w:szCs w:val="28"/>
        </w:rPr>
        <w:t xml:space="preserve"> and revenue management system—helps you to respond quickly and seize the initiative in the competitive race of today’s market.</w:t>
      </w:r>
    </w:p>
    <w:p w14:paraId="5586D29F" w14:textId="2FA6CB28" w:rsidR="00503339" w:rsidRDefault="00503339" w:rsidP="00B52E7B">
      <w:pPr>
        <w:ind w:left="709" w:right="616"/>
        <w:jc w:val="both"/>
        <w:rPr>
          <w:sz w:val="28"/>
          <w:szCs w:val="28"/>
        </w:rPr>
      </w:pP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enables you to take charge of:</w:t>
      </w:r>
    </w:p>
    <w:p w14:paraId="2CCC986C" w14:textId="77777777" w:rsidR="00A657F6" w:rsidRPr="006916D9" w:rsidRDefault="00A657F6" w:rsidP="00B52E7B">
      <w:pPr>
        <w:ind w:left="709" w:right="616"/>
        <w:jc w:val="both"/>
        <w:rPr>
          <w:sz w:val="28"/>
          <w:szCs w:val="28"/>
        </w:rPr>
      </w:pPr>
    </w:p>
    <w:p w14:paraId="4862823D" w14:textId="77777777" w:rsidR="00FB5471" w:rsidRPr="006916D9" w:rsidRDefault="00503339" w:rsidP="00B52E7B">
      <w:pPr>
        <w:pStyle w:val="ListParagraph"/>
        <w:numPr>
          <w:ilvl w:val="0"/>
          <w:numId w:val="2"/>
        </w:numPr>
        <w:ind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>Innovation, by enabling a focus on the market and new product launches</w:t>
      </w:r>
    </w:p>
    <w:p w14:paraId="523FB721" w14:textId="77777777" w:rsidR="00AF5A6F" w:rsidRPr="006916D9" w:rsidRDefault="00503339" w:rsidP="00B52E7B">
      <w:pPr>
        <w:pStyle w:val="ListParagraph"/>
        <w:numPr>
          <w:ilvl w:val="0"/>
          <w:numId w:val="2"/>
        </w:numPr>
        <w:ind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>Relationships, by maximizing return on investment through enhanced service delivery</w:t>
      </w:r>
      <w:r w:rsidR="00FB5471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and customer satisfaction</w:t>
      </w:r>
    </w:p>
    <w:p w14:paraId="0BF5156F" w14:textId="77777777" w:rsidR="00AF5A6F" w:rsidRPr="006916D9" w:rsidRDefault="00503339" w:rsidP="00B52E7B">
      <w:pPr>
        <w:pStyle w:val="ListParagraph"/>
        <w:numPr>
          <w:ilvl w:val="0"/>
          <w:numId w:val="2"/>
        </w:numPr>
        <w:ind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>Profitability, by increasing efficiency and lowering costs</w:t>
      </w:r>
    </w:p>
    <w:p w14:paraId="3FDFD7DB" w14:textId="51879B6B" w:rsidR="00503339" w:rsidRPr="006916D9" w:rsidRDefault="00503339" w:rsidP="00B52E7B">
      <w:pPr>
        <w:pStyle w:val="ListParagraph"/>
        <w:numPr>
          <w:ilvl w:val="0"/>
          <w:numId w:val="2"/>
        </w:numPr>
        <w:ind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>Business, by freeing service providers to take advantage of network capabilities, and</w:t>
      </w:r>
      <w:r w:rsidR="00AF5A6F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enable any organization to provide excellent service and deliver the content that</w:t>
      </w:r>
      <w:r w:rsidR="00AF5A6F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customers demand</w:t>
      </w:r>
    </w:p>
    <w:p w14:paraId="60F353EE" w14:textId="77777777" w:rsidR="00A657F6" w:rsidRDefault="00A657F6" w:rsidP="00B52E7B">
      <w:pPr>
        <w:ind w:left="709" w:right="616"/>
        <w:jc w:val="both"/>
        <w:rPr>
          <w:sz w:val="28"/>
          <w:szCs w:val="28"/>
        </w:rPr>
      </w:pPr>
    </w:p>
    <w:p w14:paraId="6B3052B6" w14:textId="40002760" w:rsidR="00503339" w:rsidRPr="006916D9" w:rsidRDefault="00503339" w:rsidP="00B52E7B">
      <w:pPr>
        <w:ind w:left="709" w:right="616"/>
        <w:jc w:val="both"/>
        <w:rPr>
          <w:sz w:val="28"/>
          <w:szCs w:val="28"/>
        </w:rPr>
      </w:pP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expands upon traditional billing solutions to offer a complete revenue,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transaction and customer management solution, sitting at the heart of the Business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 xml:space="preserve">Support System (BSS). </w:t>
      </w:r>
      <w:proofErr w:type="spellStart"/>
      <w:r w:rsidRPr="006916D9">
        <w:rPr>
          <w:sz w:val="28"/>
          <w:szCs w:val="28"/>
        </w:rPr>
        <w:t>Singleview's</w:t>
      </w:r>
      <w:proofErr w:type="spellEnd"/>
      <w:r w:rsidRPr="006916D9">
        <w:rPr>
          <w:sz w:val="28"/>
          <w:szCs w:val="28"/>
        </w:rPr>
        <w:t xml:space="preserve"> flexible design approach enables you to continue to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configure the solution to grow with changing business models due to company growth and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technological advances, without the need to change program code.</w:t>
      </w:r>
    </w:p>
    <w:p w14:paraId="70F25627" w14:textId="37E1FA41" w:rsidR="00CA1BCF" w:rsidRPr="006916D9" w:rsidRDefault="00503339" w:rsidP="00B52E7B">
      <w:pPr>
        <w:ind w:left="709" w:right="616"/>
        <w:jc w:val="both"/>
        <w:rPr>
          <w:sz w:val="28"/>
          <w:szCs w:val="28"/>
        </w:rPr>
      </w:pPr>
      <w:r w:rsidRPr="006916D9">
        <w:rPr>
          <w:sz w:val="28"/>
          <w:szCs w:val="28"/>
        </w:rPr>
        <w:t xml:space="preserve">The </w:t>
      </w: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components are displayed in the following diagram.</w:t>
      </w:r>
    </w:p>
    <w:p w14:paraId="0AC24E9A" w14:textId="77777777" w:rsidR="004866E9" w:rsidRPr="008C536F" w:rsidRDefault="004866E9" w:rsidP="008C536F">
      <w:pPr>
        <w:ind w:left="709"/>
        <w:rPr>
          <w:sz w:val="32"/>
        </w:rPr>
      </w:pPr>
    </w:p>
    <w:p w14:paraId="39DD3787" w14:textId="20E11566" w:rsidR="00282704" w:rsidRDefault="00E223A9" w:rsidP="00E223A9">
      <w:pPr>
        <w:ind w:left="709" w:hanging="425"/>
        <w:rPr>
          <w:sz w:val="32"/>
        </w:rPr>
      </w:pPr>
      <w:r>
        <w:rPr>
          <w:noProof/>
        </w:rPr>
        <w:drawing>
          <wp:inline distT="0" distB="0" distL="0" distR="0" wp14:anchorId="52637A35" wp14:editId="1D70FE6F">
            <wp:extent cx="6807787" cy="2944156"/>
            <wp:effectExtent l="0" t="0" r="0" b="889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641" cy="29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64C2" w14:textId="34C33D40" w:rsidR="003246F6" w:rsidRDefault="003246F6" w:rsidP="004F41F0">
      <w:pPr>
        <w:ind w:left="709" w:right="616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 xml:space="preserve">Key benefits of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are:</w:t>
      </w:r>
    </w:p>
    <w:p w14:paraId="411185B5" w14:textId="77777777" w:rsidR="00B52E7B" w:rsidRPr="004F41F0" w:rsidRDefault="00B52E7B" w:rsidP="004F41F0">
      <w:pPr>
        <w:ind w:left="709" w:right="616"/>
        <w:rPr>
          <w:sz w:val="28"/>
          <w:szCs w:val="28"/>
          <w:lang w:bidi="en-US"/>
        </w:rPr>
      </w:pPr>
    </w:p>
    <w:p w14:paraId="179C296A" w14:textId="67C43A97" w:rsidR="006916D9" w:rsidRPr="007E4B19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is the only real-time charging, billing and customer care solution designed</w:t>
      </w:r>
      <w:r w:rsidR="007E4B19">
        <w:rPr>
          <w:sz w:val="28"/>
          <w:szCs w:val="28"/>
          <w:lang w:bidi="en-US"/>
        </w:rPr>
        <w:t xml:space="preserve"> </w:t>
      </w:r>
      <w:r w:rsidRPr="007E4B19">
        <w:rPr>
          <w:sz w:val="28"/>
          <w:szCs w:val="28"/>
          <w:lang w:bidi="en-US"/>
        </w:rPr>
        <w:t>from the ground up for converged telecoms markets</w:t>
      </w:r>
      <w:r w:rsidR="00D50F51" w:rsidRPr="007E4B19">
        <w:rPr>
          <w:sz w:val="28"/>
          <w:szCs w:val="28"/>
          <w:lang w:bidi="en-US"/>
        </w:rPr>
        <w:t>.</w:t>
      </w:r>
    </w:p>
    <w:p w14:paraId="1512AF93" w14:textId="69033444" w:rsidR="00D50F51" w:rsidRPr="007E4B19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has the telecoms industry’s longest and most successful production record</w:t>
      </w:r>
      <w:r w:rsidR="007E4B19">
        <w:rPr>
          <w:sz w:val="28"/>
          <w:szCs w:val="28"/>
          <w:lang w:bidi="en-US"/>
        </w:rPr>
        <w:t xml:space="preserve"> </w:t>
      </w:r>
      <w:r w:rsidRPr="007E4B19">
        <w:rPr>
          <w:sz w:val="28"/>
          <w:szCs w:val="28"/>
          <w:lang w:bidi="en-US"/>
        </w:rPr>
        <w:t>for a fully convergent solution</w:t>
      </w:r>
      <w:r w:rsidR="00D50F51" w:rsidRPr="007E4B19">
        <w:rPr>
          <w:sz w:val="28"/>
          <w:szCs w:val="28"/>
          <w:lang w:bidi="en-US"/>
        </w:rPr>
        <w:t>.</w:t>
      </w:r>
    </w:p>
    <w:p w14:paraId="3427985D" w14:textId="34A3E850" w:rsidR="00D50F51" w:rsidRPr="00865CB0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 xml:space="preserve">Offering integrated customer management,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allows you to take charge of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your profitability by removing the expense and risk often seen with typical billing/CRM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integration programs</w:t>
      </w:r>
    </w:p>
    <w:p w14:paraId="79005683" w14:textId="64C32944" w:rsidR="003246F6" w:rsidRPr="00865CB0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>A single solution that ensures timely and accurate access to critical customer data to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take charge of customer interactions and relationships</w:t>
      </w:r>
    </w:p>
    <w:p w14:paraId="37852DBD" w14:textId="4CBF20CE" w:rsidR="003246F6" w:rsidRPr="004F41F0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Singleview’s</w:t>
      </w:r>
      <w:proofErr w:type="spellEnd"/>
      <w:r w:rsidRPr="004F41F0">
        <w:rPr>
          <w:sz w:val="28"/>
          <w:szCs w:val="28"/>
          <w:lang w:bidi="en-US"/>
        </w:rPr>
        <w:t xml:space="preserve"> flexibility empowers service innovation that can enable you to reshape</w:t>
      </w:r>
      <w:r w:rsidR="002862E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>and redefine the competitive landscape</w:t>
      </w:r>
    </w:p>
    <w:p w14:paraId="267679CC" w14:textId="4D11AFB6" w:rsidR="00282704" w:rsidRDefault="003246F6" w:rsidP="00B52E7B">
      <w:pPr>
        <w:pStyle w:val="ListParagraph"/>
        <w:numPr>
          <w:ilvl w:val="0"/>
          <w:numId w:val="3"/>
        </w:numPr>
        <w:ind w:right="616"/>
        <w:jc w:val="both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enables you to take charge of the future as it effortlessly adapts to address</w:t>
      </w:r>
      <w:r w:rsidR="002862E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>any market or segment, without the need for costly upgrades or system replacements</w:t>
      </w:r>
      <w:r w:rsidR="00293F0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 xml:space="preserve">–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is proven and in use at financial services, transport and logistics</w:t>
      </w:r>
      <w:r w:rsidR="00293F0E" w:rsidRPr="004F41F0">
        <w:rPr>
          <w:sz w:val="28"/>
          <w:szCs w:val="28"/>
          <w:lang w:bidi="en-US"/>
        </w:rPr>
        <w:t xml:space="preserve"> o</w:t>
      </w:r>
      <w:r w:rsidRPr="004F41F0">
        <w:rPr>
          <w:sz w:val="28"/>
          <w:szCs w:val="28"/>
          <w:lang w:bidi="en-US"/>
        </w:rPr>
        <w:t>rganizations</w:t>
      </w:r>
      <w:r w:rsidR="00293F0E" w:rsidRPr="004F41F0">
        <w:rPr>
          <w:sz w:val="28"/>
          <w:szCs w:val="28"/>
          <w:lang w:bidi="en-US"/>
        </w:rPr>
        <w:t>.</w:t>
      </w:r>
    </w:p>
    <w:p w14:paraId="3A8EB907" w14:textId="105D0834" w:rsidR="00126B9C" w:rsidRDefault="00126B9C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br w:type="page"/>
      </w:r>
    </w:p>
    <w:p w14:paraId="2A2B3EC8" w14:textId="77777777" w:rsidR="00282704" w:rsidRPr="008A32FE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A32FE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384CBE4B" w14:textId="156212E4" w:rsidR="006C7C1F" w:rsidRPr="002277CE" w:rsidRDefault="0054701B" w:rsidP="00B52E7B">
      <w:pPr>
        <w:ind w:left="709" w:right="616"/>
        <w:jc w:val="both"/>
        <w:rPr>
          <w:sz w:val="28"/>
          <w:szCs w:val="28"/>
        </w:rPr>
      </w:pP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has achieved TMF conformance certification for both eTOM and SID.</w:t>
      </w:r>
    </w:p>
    <w:p w14:paraId="6E7B720B" w14:textId="265C7FEB" w:rsidR="00910182" w:rsidRPr="002277CE" w:rsidRDefault="00354A03" w:rsidP="00B52E7B">
      <w:pPr>
        <w:ind w:left="709" w:right="616"/>
        <w:jc w:val="both"/>
        <w:rPr>
          <w:sz w:val="28"/>
          <w:szCs w:val="28"/>
        </w:rPr>
      </w:pPr>
      <w:r w:rsidRPr="002277CE">
        <w:rPr>
          <w:sz w:val="28"/>
          <w:szCs w:val="28"/>
        </w:rPr>
        <w:t>The development of TMF Open APIs builds upon the Information Framework (SID) conformance certification.</w:t>
      </w:r>
    </w:p>
    <w:p w14:paraId="45A41AE2" w14:textId="06D7CBC5" w:rsidR="0014192E" w:rsidRDefault="0014192E" w:rsidP="00B52E7B">
      <w:pPr>
        <w:ind w:left="709" w:right="616"/>
        <w:jc w:val="both"/>
        <w:rPr>
          <w:sz w:val="28"/>
          <w:szCs w:val="28"/>
        </w:rPr>
      </w:pPr>
      <w:r w:rsidRPr="002277CE">
        <w:rPr>
          <w:sz w:val="28"/>
          <w:szCs w:val="28"/>
        </w:rPr>
        <w:t>CSG is incrementally increas</w:t>
      </w:r>
      <w:r w:rsidR="00C9091C" w:rsidRPr="002277CE">
        <w:rPr>
          <w:sz w:val="28"/>
          <w:szCs w:val="28"/>
        </w:rPr>
        <w:t xml:space="preserve">ing </w:t>
      </w:r>
      <w:r w:rsidRPr="002277CE">
        <w:rPr>
          <w:sz w:val="28"/>
          <w:szCs w:val="28"/>
        </w:rPr>
        <w:t xml:space="preserve">the number of Open APIs available for </w:t>
      </w: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deployments, prioritizing the APIs managing those business entities typically mastered by </w:t>
      </w: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(Customer Management and Product Management domains).</w:t>
      </w:r>
    </w:p>
    <w:p w14:paraId="782125FE" w14:textId="77777777" w:rsidR="005D3E1E" w:rsidRDefault="005D3E1E" w:rsidP="00B52E7B">
      <w:pPr>
        <w:ind w:left="709" w:right="616"/>
        <w:jc w:val="both"/>
        <w:rPr>
          <w:sz w:val="28"/>
          <w:szCs w:val="28"/>
        </w:rPr>
      </w:pPr>
    </w:p>
    <w:p w14:paraId="681E97F7" w14:textId="694D9080" w:rsidR="00A625D8" w:rsidRPr="000D0F88" w:rsidRDefault="00A625D8" w:rsidP="00B52E7B">
      <w:pPr>
        <w:ind w:left="709" w:right="616"/>
        <w:jc w:val="both"/>
        <w:rPr>
          <w:sz w:val="28"/>
          <w:szCs w:val="28"/>
        </w:rPr>
      </w:pPr>
      <w:r w:rsidRPr="000D0F88">
        <w:rPr>
          <w:sz w:val="28"/>
          <w:szCs w:val="28"/>
        </w:rPr>
        <w:t xml:space="preserve">The </w:t>
      </w:r>
      <w:proofErr w:type="spellStart"/>
      <w:r w:rsidR="005D385B" w:rsidRPr="000D0F88">
        <w:rPr>
          <w:sz w:val="28"/>
          <w:szCs w:val="28"/>
        </w:rPr>
        <w:t>Singleview</w:t>
      </w:r>
      <w:proofErr w:type="spellEnd"/>
      <w:r w:rsidR="005D385B" w:rsidRPr="000D0F88">
        <w:rPr>
          <w:sz w:val="28"/>
          <w:szCs w:val="28"/>
        </w:rPr>
        <w:t xml:space="preserve"> Product Inventory Management APIs is conformant with the TMF 637 </w:t>
      </w:r>
      <w:r w:rsidR="008A6DB6" w:rsidRPr="000D0F88">
        <w:rPr>
          <w:sz w:val="28"/>
          <w:szCs w:val="28"/>
        </w:rPr>
        <w:t>specification</w:t>
      </w:r>
      <w:r w:rsidR="00CE38F5" w:rsidRPr="000D0F88">
        <w:rPr>
          <w:sz w:val="28"/>
          <w:szCs w:val="28"/>
        </w:rPr>
        <w:t xml:space="preserve"> </w:t>
      </w:r>
      <w:r w:rsidR="008A6DB6" w:rsidRPr="000D0F88">
        <w:rPr>
          <w:sz w:val="28"/>
          <w:szCs w:val="28"/>
        </w:rPr>
        <w:t xml:space="preserve">and allows the management </w:t>
      </w:r>
      <w:r w:rsidR="0036244F" w:rsidRPr="000D0F88">
        <w:rPr>
          <w:sz w:val="28"/>
          <w:szCs w:val="28"/>
        </w:rPr>
        <w:t>of product instan</w:t>
      </w:r>
      <w:r w:rsidR="005A56A3" w:rsidRPr="000D0F88">
        <w:rPr>
          <w:sz w:val="28"/>
          <w:szCs w:val="28"/>
        </w:rPr>
        <w:t>c</w:t>
      </w:r>
      <w:r w:rsidR="0036244F" w:rsidRPr="000D0F88">
        <w:rPr>
          <w:sz w:val="28"/>
          <w:szCs w:val="28"/>
        </w:rPr>
        <w:t xml:space="preserve">es </w:t>
      </w:r>
      <w:r w:rsidR="005A56A3" w:rsidRPr="000D0F88">
        <w:rPr>
          <w:sz w:val="28"/>
          <w:szCs w:val="28"/>
        </w:rPr>
        <w:t xml:space="preserve">representing the product offerings purchased by </w:t>
      </w:r>
      <w:r w:rsidR="00882F84" w:rsidRPr="000D0F88">
        <w:rPr>
          <w:sz w:val="28"/>
          <w:szCs w:val="28"/>
        </w:rPr>
        <w:t>a customer</w:t>
      </w:r>
      <w:r w:rsidR="00BF75A1" w:rsidRPr="000D0F88">
        <w:rPr>
          <w:sz w:val="28"/>
          <w:szCs w:val="28"/>
        </w:rPr>
        <w:t xml:space="preserve">. </w:t>
      </w:r>
    </w:p>
    <w:p w14:paraId="5FAD66A6" w14:textId="77777777" w:rsidR="009377BD" w:rsidRPr="000D0F88" w:rsidRDefault="009377BD" w:rsidP="00B52E7B">
      <w:pPr>
        <w:ind w:left="709" w:right="616"/>
        <w:jc w:val="both"/>
        <w:rPr>
          <w:sz w:val="28"/>
          <w:szCs w:val="28"/>
        </w:rPr>
      </w:pPr>
    </w:p>
    <w:p w14:paraId="4C4E0CCA" w14:textId="09B2F640" w:rsidR="009377BD" w:rsidRPr="000D0F88" w:rsidRDefault="00587344" w:rsidP="00B52E7B">
      <w:pPr>
        <w:ind w:left="709" w:right="616"/>
        <w:jc w:val="both"/>
        <w:rPr>
          <w:sz w:val="28"/>
          <w:szCs w:val="28"/>
        </w:rPr>
      </w:pPr>
      <w:r w:rsidRPr="000D0F88">
        <w:rPr>
          <w:sz w:val="28"/>
          <w:szCs w:val="28"/>
        </w:rPr>
        <w:t>Usually,</w:t>
      </w:r>
      <w:r w:rsidR="00F84037" w:rsidRPr="000D0F88">
        <w:rPr>
          <w:sz w:val="28"/>
          <w:szCs w:val="28"/>
        </w:rPr>
        <w:t xml:space="preserve"> </w:t>
      </w:r>
      <w:r w:rsidR="00E71EF5" w:rsidRPr="000D0F88">
        <w:rPr>
          <w:sz w:val="28"/>
          <w:szCs w:val="28"/>
        </w:rPr>
        <w:t>a product is created or modified with a product order</w:t>
      </w:r>
      <w:r w:rsidR="00C85060">
        <w:rPr>
          <w:sz w:val="28"/>
          <w:szCs w:val="28"/>
        </w:rPr>
        <w:t>.</w:t>
      </w:r>
      <w:r w:rsidR="00A908EB" w:rsidRPr="000D0F88">
        <w:rPr>
          <w:sz w:val="28"/>
          <w:szCs w:val="28"/>
        </w:rPr>
        <w:t xml:space="preserve"> </w:t>
      </w:r>
      <w:r w:rsidR="00C85060">
        <w:rPr>
          <w:sz w:val="28"/>
          <w:szCs w:val="28"/>
        </w:rPr>
        <w:t>A</w:t>
      </w:r>
      <w:r w:rsidR="009377BD" w:rsidRPr="000D0F88">
        <w:rPr>
          <w:sz w:val="28"/>
          <w:szCs w:val="28"/>
        </w:rPr>
        <w:t xml:space="preserve">fter the successful execution of an order a product instance is created in </w:t>
      </w:r>
      <w:proofErr w:type="spellStart"/>
      <w:r w:rsidR="00BC5FAA" w:rsidRPr="000D0F88">
        <w:rPr>
          <w:sz w:val="28"/>
          <w:szCs w:val="28"/>
        </w:rPr>
        <w:t>Singleview</w:t>
      </w:r>
      <w:proofErr w:type="spellEnd"/>
      <w:r w:rsidR="00BC5FAA" w:rsidRPr="000D0F88">
        <w:rPr>
          <w:sz w:val="28"/>
          <w:szCs w:val="28"/>
        </w:rPr>
        <w:t>,</w:t>
      </w:r>
      <w:r w:rsidR="009377BD" w:rsidRPr="000D0F88">
        <w:rPr>
          <w:sz w:val="28"/>
          <w:szCs w:val="28"/>
        </w:rPr>
        <w:t xml:space="preserve"> and billing is activated. </w:t>
      </w:r>
    </w:p>
    <w:p w14:paraId="7FF80450" w14:textId="77777777" w:rsidR="009377BD" w:rsidRPr="000D0F88" w:rsidRDefault="009377BD" w:rsidP="00B52E7B">
      <w:pPr>
        <w:ind w:left="709" w:right="616"/>
        <w:jc w:val="both"/>
        <w:rPr>
          <w:sz w:val="28"/>
          <w:szCs w:val="28"/>
        </w:rPr>
      </w:pPr>
    </w:p>
    <w:p w14:paraId="2203B242" w14:textId="73676F28" w:rsidR="00BF75A1" w:rsidRPr="000D0F88" w:rsidRDefault="00BF75A1" w:rsidP="00B52E7B">
      <w:pPr>
        <w:ind w:left="709" w:right="616"/>
        <w:jc w:val="both"/>
        <w:rPr>
          <w:sz w:val="28"/>
          <w:szCs w:val="28"/>
        </w:rPr>
      </w:pPr>
      <w:r w:rsidRPr="000D0F88">
        <w:rPr>
          <w:sz w:val="28"/>
          <w:szCs w:val="28"/>
        </w:rPr>
        <w:t xml:space="preserve">The </w:t>
      </w:r>
      <w:proofErr w:type="spellStart"/>
      <w:r w:rsidR="00A4419A" w:rsidRPr="000D0F88">
        <w:rPr>
          <w:sz w:val="28"/>
          <w:szCs w:val="28"/>
        </w:rPr>
        <w:t>Singleview</w:t>
      </w:r>
      <w:proofErr w:type="spellEnd"/>
      <w:r w:rsidR="00A4419A" w:rsidRPr="000D0F88">
        <w:rPr>
          <w:sz w:val="28"/>
          <w:szCs w:val="28"/>
        </w:rPr>
        <w:t xml:space="preserve"> Product Inventory Management </w:t>
      </w:r>
      <w:r w:rsidR="0022619E" w:rsidRPr="000D0F88">
        <w:rPr>
          <w:sz w:val="28"/>
          <w:szCs w:val="28"/>
        </w:rPr>
        <w:t xml:space="preserve">API provides a standardized </w:t>
      </w:r>
      <w:r w:rsidR="00322DF3" w:rsidRPr="000D0F88">
        <w:rPr>
          <w:sz w:val="28"/>
          <w:szCs w:val="28"/>
        </w:rPr>
        <w:t>mechanism</w:t>
      </w:r>
      <w:r w:rsidR="0022619E" w:rsidRPr="000D0F88">
        <w:rPr>
          <w:sz w:val="28"/>
          <w:szCs w:val="28"/>
        </w:rPr>
        <w:t xml:space="preserve"> to </w:t>
      </w:r>
      <w:r w:rsidR="00322DF3" w:rsidRPr="000D0F88">
        <w:rPr>
          <w:sz w:val="28"/>
          <w:szCs w:val="28"/>
        </w:rPr>
        <w:t xml:space="preserve">retrieve </w:t>
      </w:r>
      <w:r w:rsidR="00B1658B" w:rsidRPr="000D0F88">
        <w:rPr>
          <w:sz w:val="28"/>
          <w:szCs w:val="28"/>
        </w:rPr>
        <w:t>in</w:t>
      </w:r>
      <w:r w:rsidR="00322DF3" w:rsidRPr="000D0F88">
        <w:rPr>
          <w:sz w:val="28"/>
          <w:szCs w:val="28"/>
        </w:rPr>
        <w:t xml:space="preserve">ventory information </w:t>
      </w:r>
      <w:r w:rsidR="00C464D0">
        <w:rPr>
          <w:sz w:val="28"/>
          <w:szCs w:val="28"/>
        </w:rPr>
        <w:t xml:space="preserve">related </w:t>
      </w:r>
      <w:r w:rsidR="00713CA5" w:rsidRPr="000D0F88">
        <w:rPr>
          <w:sz w:val="28"/>
          <w:szCs w:val="28"/>
        </w:rPr>
        <w:t>t</w:t>
      </w:r>
      <w:r w:rsidR="00031A8A">
        <w:rPr>
          <w:sz w:val="28"/>
          <w:szCs w:val="28"/>
        </w:rPr>
        <w:t>o</w:t>
      </w:r>
      <w:r w:rsidR="00713CA5" w:rsidRPr="000D0F88">
        <w:rPr>
          <w:sz w:val="28"/>
          <w:szCs w:val="28"/>
        </w:rPr>
        <w:t xml:space="preserve"> </w:t>
      </w:r>
      <w:r w:rsidR="00236444" w:rsidRPr="000D0F88">
        <w:rPr>
          <w:sz w:val="28"/>
          <w:szCs w:val="28"/>
        </w:rPr>
        <w:t xml:space="preserve">the instances </w:t>
      </w:r>
      <w:r w:rsidR="00B9069F" w:rsidRPr="000D0F88">
        <w:rPr>
          <w:sz w:val="28"/>
          <w:szCs w:val="28"/>
        </w:rPr>
        <w:t>of product offering</w:t>
      </w:r>
      <w:r w:rsidR="00031A8A">
        <w:rPr>
          <w:sz w:val="28"/>
          <w:szCs w:val="28"/>
        </w:rPr>
        <w:t>s</w:t>
      </w:r>
      <w:r w:rsidR="00B9069F" w:rsidRPr="000D0F88">
        <w:rPr>
          <w:sz w:val="28"/>
          <w:szCs w:val="28"/>
        </w:rPr>
        <w:t xml:space="preserve"> associated to a customer</w:t>
      </w:r>
      <w:r w:rsidR="008216D1" w:rsidRPr="000D0F88">
        <w:rPr>
          <w:sz w:val="28"/>
          <w:szCs w:val="28"/>
        </w:rPr>
        <w:t>.</w:t>
      </w:r>
      <w:r w:rsidR="00E5736F" w:rsidRPr="000D0F88">
        <w:rPr>
          <w:sz w:val="28"/>
          <w:szCs w:val="28"/>
        </w:rPr>
        <w:t xml:space="preserve"> </w:t>
      </w:r>
      <w:r w:rsidR="000D5C76" w:rsidRPr="000D0F88">
        <w:rPr>
          <w:sz w:val="28"/>
          <w:szCs w:val="28"/>
        </w:rPr>
        <w:t xml:space="preserve">This information includes </w:t>
      </w:r>
      <w:r w:rsidR="00B12F64" w:rsidRPr="000D0F88">
        <w:rPr>
          <w:sz w:val="28"/>
          <w:szCs w:val="28"/>
        </w:rPr>
        <w:t>the place where the product is in use</w:t>
      </w:r>
      <w:r w:rsidR="000D0F88" w:rsidRPr="000D0F88">
        <w:rPr>
          <w:sz w:val="28"/>
          <w:szCs w:val="28"/>
        </w:rPr>
        <w:t xml:space="preserve">, </w:t>
      </w:r>
      <w:r w:rsidR="00723218" w:rsidRPr="000D0F88">
        <w:rPr>
          <w:sz w:val="28"/>
          <w:szCs w:val="28"/>
        </w:rPr>
        <w:t xml:space="preserve">configuration characteristics, pricing and </w:t>
      </w:r>
      <w:r w:rsidR="000D5C76" w:rsidRPr="000D0F88">
        <w:rPr>
          <w:sz w:val="28"/>
          <w:szCs w:val="28"/>
        </w:rPr>
        <w:t xml:space="preserve">the services and resources through which </w:t>
      </w:r>
      <w:r w:rsidR="00986BF5">
        <w:rPr>
          <w:sz w:val="28"/>
          <w:szCs w:val="28"/>
        </w:rPr>
        <w:t>the</w:t>
      </w:r>
      <w:r w:rsidR="000D5C76" w:rsidRPr="000D0F88">
        <w:rPr>
          <w:sz w:val="28"/>
          <w:szCs w:val="28"/>
        </w:rPr>
        <w:t xml:space="preserve"> </w:t>
      </w:r>
      <w:r w:rsidR="001D2C57" w:rsidRPr="000D0F88">
        <w:rPr>
          <w:sz w:val="28"/>
          <w:szCs w:val="28"/>
        </w:rPr>
        <w:t>product is realized</w:t>
      </w:r>
      <w:r w:rsidR="000D0F88" w:rsidRPr="000D0F88">
        <w:rPr>
          <w:sz w:val="28"/>
          <w:szCs w:val="28"/>
        </w:rPr>
        <w:t>.</w:t>
      </w:r>
      <w:r w:rsidR="001D2C57" w:rsidRPr="000D0F88">
        <w:rPr>
          <w:sz w:val="28"/>
          <w:szCs w:val="28"/>
        </w:rPr>
        <w:t xml:space="preserve"> </w:t>
      </w:r>
    </w:p>
    <w:p w14:paraId="3F4A9C17" w14:textId="311CA0A1" w:rsidR="00B61A5B" w:rsidRPr="000D0F88" w:rsidRDefault="00B61A5B" w:rsidP="00322DF3">
      <w:pPr>
        <w:ind w:left="709" w:right="616"/>
        <w:rPr>
          <w:sz w:val="28"/>
          <w:szCs w:val="28"/>
        </w:rPr>
      </w:pPr>
    </w:p>
    <w:p w14:paraId="4F9F0D06" w14:textId="2AC201AC" w:rsidR="00D04C8B" w:rsidRDefault="003C04C1" w:rsidP="00FA067A">
      <w:pPr>
        <w:ind w:left="709" w:right="616"/>
        <w:rPr>
          <w:sz w:val="28"/>
          <w:szCs w:val="28"/>
        </w:rPr>
      </w:pPr>
      <w:r w:rsidRPr="000D0F88">
        <w:rPr>
          <w:sz w:val="28"/>
          <w:szCs w:val="28"/>
        </w:rPr>
        <w:t xml:space="preserve">The </w:t>
      </w:r>
      <w:proofErr w:type="spellStart"/>
      <w:r w:rsidRPr="000D0F88">
        <w:rPr>
          <w:sz w:val="28"/>
          <w:szCs w:val="28"/>
        </w:rPr>
        <w:t>Singleview</w:t>
      </w:r>
      <w:proofErr w:type="spellEnd"/>
      <w:r w:rsidRPr="000D0F88">
        <w:rPr>
          <w:sz w:val="28"/>
          <w:szCs w:val="28"/>
        </w:rPr>
        <w:t xml:space="preserve"> </w:t>
      </w:r>
      <w:r w:rsidR="00F7495C" w:rsidRPr="000D0F88">
        <w:rPr>
          <w:sz w:val="28"/>
          <w:szCs w:val="28"/>
        </w:rPr>
        <w:t>Product Inventory</w:t>
      </w:r>
      <w:r w:rsidRPr="000D0F88">
        <w:rPr>
          <w:sz w:val="28"/>
          <w:szCs w:val="28"/>
        </w:rPr>
        <w:t xml:space="preserve"> Management APIs </w:t>
      </w:r>
      <w:r w:rsidR="00E54DE1" w:rsidRPr="000D0F88">
        <w:rPr>
          <w:sz w:val="28"/>
          <w:szCs w:val="28"/>
        </w:rPr>
        <w:t xml:space="preserve">allows the following </w:t>
      </w:r>
      <w:r w:rsidR="00F675FE" w:rsidRPr="000D0F88">
        <w:rPr>
          <w:sz w:val="28"/>
          <w:szCs w:val="28"/>
        </w:rPr>
        <w:t>operations</w:t>
      </w:r>
      <w:r w:rsidR="00905C6C" w:rsidRPr="000D0F88">
        <w:rPr>
          <w:sz w:val="28"/>
          <w:szCs w:val="28"/>
        </w:rPr>
        <w:t>:</w:t>
      </w:r>
    </w:p>
    <w:p w14:paraId="6FC6FEE5" w14:textId="77777777" w:rsidR="00B52E7B" w:rsidRPr="000D0F88" w:rsidRDefault="00B52E7B" w:rsidP="00FA067A">
      <w:pPr>
        <w:ind w:left="709" w:right="616"/>
        <w:rPr>
          <w:sz w:val="28"/>
          <w:szCs w:val="28"/>
        </w:rPr>
      </w:pPr>
    </w:p>
    <w:p w14:paraId="5FBCD91A" w14:textId="78850009" w:rsidR="00D04C8B" w:rsidRPr="000D0F88" w:rsidRDefault="00D04C8B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 w:rsidRPr="000D0F88">
        <w:rPr>
          <w:sz w:val="28"/>
          <w:szCs w:val="22"/>
        </w:rPr>
        <w:t xml:space="preserve">Retrieve a </w:t>
      </w:r>
      <w:r w:rsidR="00F7495C" w:rsidRPr="000D0F88">
        <w:rPr>
          <w:sz w:val="28"/>
          <w:szCs w:val="22"/>
        </w:rPr>
        <w:t>product inventory</w:t>
      </w:r>
      <w:r w:rsidRPr="000D0F88">
        <w:rPr>
          <w:sz w:val="28"/>
          <w:szCs w:val="22"/>
        </w:rPr>
        <w:t xml:space="preserve"> resource and the related details</w:t>
      </w:r>
      <w:r w:rsidR="00F7495C" w:rsidRPr="000D0F88">
        <w:rPr>
          <w:sz w:val="28"/>
          <w:szCs w:val="22"/>
        </w:rPr>
        <w:t>.</w:t>
      </w:r>
    </w:p>
    <w:p w14:paraId="62B9B583" w14:textId="3232535C" w:rsidR="00D04C8B" w:rsidRPr="000D0F88" w:rsidRDefault="00D04C8B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 w:rsidRPr="000D0F88">
        <w:rPr>
          <w:sz w:val="28"/>
          <w:szCs w:val="22"/>
        </w:rPr>
        <w:t xml:space="preserve">Retrieve a </w:t>
      </w:r>
      <w:r w:rsidR="00123E1B" w:rsidRPr="000D0F88">
        <w:rPr>
          <w:sz w:val="28"/>
          <w:szCs w:val="22"/>
        </w:rPr>
        <w:t>collection</w:t>
      </w:r>
      <w:r w:rsidRPr="000D0F88">
        <w:rPr>
          <w:sz w:val="28"/>
          <w:szCs w:val="22"/>
        </w:rPr>
        <w:t xml:space="preserve"> </w:t>
      </w:r>
      <w:r w:rsidR="00150DFB" w:rsidRPr="000D0F88">
        <w:rPr>
          <w:sz w:val="28"/>
          <w:szCs w:val="22"/>
        </w:rPr>
        <w:t xml:space="preserve">of </w:t>
      </w:r>
      <w:r w:rsidR="00F7495C" w:rsidRPr="000D0F88">
        <w:rPr>
          <w:sz w:val="28"/>
          <w:szCs w:val="22"/>
        </w:rPr>
        <w:t xml:space="preserve">product </w:t>
      </w:r>
      <w:r w:rsidR="00257038" w:rsidRPr="000D0F88">
        <w:rPr>
          <w:sz w:val="28"/>
          <w:szCs w:val="22"/>
        </w:rPr>
        <w:t>instances</w:t>
      </w:r>
      <w:r w:rsidR="00E17A7B" w:rsidRPr="000D0F88">
        <w:rPr>
          <w:sz w:val="28"/>
          <w:szCs w:val="22"/>
        </w:rPr>
        <w:t xml:space="preserve"> </w:t>
      </w:r>
      <w:r w:rsidRPr="000D0F88">
        <w:rPr>
          <w:sz w:val="28"/>
          <w:szCs w:val="22"/>
        </w:rPr>
        <w:t xml:space="preserve">based on </w:t>
      </w:r>
      <w:r w:rsidR="00123E1B" w:rsidRPr="000D0F88">
        <w:rPr>
          <w:sz w:val="28"/>
          <w:szCs w:val="22"/>
        </w:rPr>
        <w:t>filtering</w:t>
      </w:r>
      <w:r w:rsidR="0061513B" w:rsidRPr="000D0F88">
        <w:rPr>
          <w:sz w:val="28"/>
          <w:szCs w:val="22"/>
        </w:rPr>
        <w:t xml:space="preserve"> </w:t>
      </w:r>
      <w:r w:rsidRPr="000D0F88">
        <w:rPr>
          <w:sz w:val="28"/>
          <w:szCs w:val="22"/>
        </w:rPr>
        <w:t xml:space="preserve">criteria such as </w:t>
      </w:r>
      <w:r w:rsidR="00F7495C" w:rsidRPr="000D0F88">
        <w:rPr>
          <w:sz w:val="28"/>
          <w:szCs w:val="22"/>
        </w:rPr>
        <w:t xml:space="preserve">product </w:t>
      </w:r>
      <w:r w:rsidR="00D75A2B">
        <w:rPr>
          <w:sz w:val="28"/>
          <w:szCs w:val="22"/>
        </w:rPr>
        <w:t>ID</w:t>
      </w:r>
      <w:r w:rsidRPr="000D0F88">
        <w:rPr>
          <w:sz w:val="28"/>
          <w:szCs w:val="22"/>
        </w:rPr>
        <w:t xml:space="preserve">, </w:t>
      </w:r>
      <w:r w:rsidR="00F7495C" w:rsidRPr="000D0F88">
        <w:rPr>
          <w:sz w:val="28"/>
          <w:szCs w:val="22"/>
        </w:rPr>
        <w:t>product status</w:t>
      </w:r>
      <w:r w:rsidR="003C25C9" w:rsidRPr="000D0F88">
        <w:rPr>
          <w:sz w:val="28"/>
          <w:szCs w:val="22"/>
        </w:rPr>
        <w:t>,</w:t>
      </w:r>
      <w:r w:rsidR="00FA3C82" w:rsidRPr="000D0F88">
        <w:rPr>
          <w:sz w:val="28"/>
          <w:szCs w:val="22"/>
        </w:rPr>
        <w:t xml:space="preserve"> </w:t>
      </w:r>
      <w:r w:rsidR="00F7495C" w:rsidRPr="000D0F88">
        <w:rPr>
          <w:sz w:val="28"/>
          <w:szCs w:val="22"/>
        </w:rPr>
        <w:t>customer ID</w:t>
      </w:r>
      <w:r w:rsidR="00BB5276">
        <w:rPr>
          <w:sz w:val="28"/>
          <w:szCs w:val="22"/>
        </w:rPr>
        <w:t xml:space="preserve">, service </w:t>
      </w:r>
      <w:r w:rsidR="00193274">
        <w:rPr>
          <w:sz w:val="28"/>
          <w:szCs w:val="22"/>
        </w:rPr>
        <w:t>number, offer name,</w:t>
      </w:r>
      <w:r w:rsidR="00F7495C" w:rsidRPr="000D0F88">
        <w:rPr>
          <w:sz w:val="28"/>
          <w:szCs w:val="22"/>
        </w:rPr>
        <w:t xml:space="preserve"> </w:t>
      </w:r>
      <w:r w:rsidR="00FA3C82" w:rsidRPr="000D0F88">
        <w:rPr>
          <w:sz w:val="28"/>
          <w:szCs w:val="22"/>
        </w:rPr>
        <w:t>etc</w:t>
      </w:r>
      <w:r w:rsidRPr="000D0F88">
        <w:rPr>
          <w:sz w:val="28"/>
          <w:szCs w:val="22"/>
        </w:rPr>
        <w:t>.</w:t>
      </w:r>
    </w:p>
    <w:p w14:paraId="4BC51E34" w14:textId="1A5B0982" w:rsidR="009377BD" w:rsidRDefault="009377B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58E1AC16" w:rsidR="004866E9" w:rsidRPr="00D15A32" w:rsidRDefault="00715306" w:rsidP="00715306">
      <w:pPr>
        <w:ind w:left="709"/>
        <w:rPr>
          <w:sz w:val="28"/>
          <w:szCs w:val="28"/>
        </w:rPr>
      </w:pPr>
      <w:proofErr w:type="spellStart"/>
      <w:r w:rsidRPr="00D15A32">
        <w:rPr>
          <w:sz w:val="28"/>
          <w:szCs w:val="28"/>
        </w:rPr>
        <w:t>Singleview</w:t>
      </w:r>
      <w:proofErr w:type="spellEnd"/>
      <w:r w:rsidRPr="00D15A32">
        <w:rPr>
          <w:sz w:val="28"/>
          <w:szCs w:val="28"/>
        </w:rPr>
        <w:t xml:space="preserve"> can share data and participate in business processes as it is built on a </w:t>
      </w:r>
      <w:r w:rsidR="00C74E5F" w:rsidRPr="00D15A32">
        <w:rPr>
          <w:sz w:val="28"/>
          <w:szCs w:val="28"/>
        </w:rPr>
        <w:t>real-time</w:t>
      </w:r>
      <w:r w:rsidRPr="00D15A32">
        <w:rPr>
          <w:sz w:val="28"/>
          <w:szCs w:val="28"/>
        </w:rPr>
        <w:t>, extensible framework, with intrinsic support for integration.</w:t>
      </w:r>
    </w:p>
    <w:p w14:paraId="07E5F266" w14:textId="7EE3E231" w:rsidR="00C74E5F" w:rsidRPr="00D15A32" w:rsidRDefault="00755DB4" w:rsidP="000C630B">
      <w:pPr>
        <w:ind w:left="709"/>
        <w:rPr>
          <w:sz w:val="28"/>
          <w:szCs w:val="28"/>
        </w:rPr>
      </w:pPr>
      <w:r w:rsidRPr="00755DB4">
        <w:rPr>
          <w:sz w:val="28"/>
          <w:szCs w:val="28"/>
        </w:rPr>
        <w:t xml:space="preserve">A </w:t>
      </w:r>
      <w:proofErr w:type="spellStart"/>
      <w:r w:rsidRPr="00755DB4">
        <w:rPr>
          <w:sz w:val="28"/>
          <w:szCs w:val="28"/>
        </w:rPr>
        <w:t>Singleview</w:t>
      </w:r>
      <w:proofErr w:type="spellEnd"/>
      <w:r w:rsidRPr="00755DB4">
        <w:rPr>
          <w:sz w:val="28"/>
          <w:szCs w:val="28"/>
        </w:rPr>
        <w:t xml:space="preserve"> Web Services Adapter is used for handling REST requests.</w:t>
      </w:r>
    </w:p>
    <w:p w14:paraId="1B90EE8D" w14:textId="6D59FA58" w:rsidR="00D15A32" w:rsidRDefault="00C74E5F" w:rsidP="00D15A32">
      <w:pPr>
        <w:ind w:left="709"/>
        <w:rPr>
          <w:sz w:val="32"/>
        </w:rPr>
      </w:pPr>
      <w:r w:rsidRPr="00D15A32">
        <w:rPr>
          <w:sz w:val="28"/>
          <w:szCs w:val="28"/>
        </w:rPr>
        <w:t xml:space="preserve">This adapter gives access to </w:t>
      </w:r>
      <w:proofErr w:type="spellStart"/>
      <w:r w:rsidRPr="00D15A32">
        <w:rPr>
          <w:sz w:val="28"/>
          <w:szCs w:val="28"/>
        </w:rPr>
        <w:t>Singleview</w:t>
      </w:r>
      <w:proofErr w:type="spellEnd"/>
      <w:r w:rsidRPr="00D15A32">
        <w:rPr>
          <w:sz w:val="28"/>
          <w:szCs w:val="28"/>
        </w:rPr>
        <w:t xml:space="preserve"> functions</w:t>
      </w:r>
      <w:r w:rsidR="007767C1" w:rsidRPr="00D15A32">
        <w:rPr>
          <w:sz w:val="28"/>
          <w:szCs w:val="28"/>
        </w:rPr>
        <w:t xml:space="preserve"> such as </w:t>
      </w:r>
      <w:r w:rsidR="00F7495C">
        <w:rPr>
          <w:sz w:val="28"/>
          <w:szCs w:val="28"/>
        </w:rPr>
        <w:t>Product Inventory</w:t>
      </w:r>
      <w:r w:rsidR="007767C1" w:rsidRPr="00D15A32">
        <w:rPr>
          <w:sz w:val="28"/>
          <w:szCs w:val="28"/>
        </w:rPr>
        <w:t xml:space="preserve"> Management.</w:t>
      </w:r>
      <w:r w:rsidR="007767C1">
        <w:rPr>
          <w:sz w:val="32"/>
        </w:rPr>
        <w:t xml:space="preserve"> </w:t>
      </w:r>
    </w:p>
    <w:p w14:paraId="6C12FF4E" w14:textId="2FD93D36" w:rsidR="00D15A32" w:rsidRDefault="00D15A32" w:rsidP="00D15A32">
      <w:pPr>
        <w:ind w:left="709"/>
        <w:rPr>
          <w:sz w:val="32"/>
        </w:rPr>
      </w:pPr>
    </w:p>
    <w:p w14:paraId="3C0E0D6B" w14:textId="3E377B3E" w:rsidR="00D15A32" w:rsidRPr="008C536F" w:rsidRDefault="00B90887" w:rsidP="0091311C">
      <w:pPr>
        <w:ind w:left="709" w:hanging="567"/>
        <w:rPr>
          <w:sz w:val="32"/>
        </w:rPr>
      </w:pPr>
      <w:r w:rsidRPr="00B90887">
        <w:rPr>
          <w:noProof/>
        </w:rPr>
        <w:drawing>
          <wp:inline distT="0" distB="0" distL="0" distR="0" wp14:anchorId="5BA62C90" wp14:editId="51D261EA">
            <wp:extent cx="7052310" cy="356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BE01" w14:textId="061860FB" w:rsidR="00C74E5F" w:rsidRPr="008C536F" w:rsidRDefault="00C74E5F" w:rsidP="00C74E5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43F93540" w:rsidR="004323D5" w:rsidRPr="008C536F" w:rsidRDefault="002A76F4" w:rsidP="00B52E7B">
      <w:pPr>
        <w:ind w:left="709"/>
        <w:jc w:val="center"/>
        <w:rPr>
          <w:sz w:val="32"/>
        </w:rPr>
      </w:pPr>
      <w:r>
        <w:rPr>
          <w:sz w:val="32"/>
        </w:rPr>
        <w:object w:dxaOrig="3855" w:dyaOrig="810" w14:anchorId="4996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0.05pt" o:ole="">
            <v:imagedata r:id="rId12" o:title=""/>
          </v:shape>
          <o:OLEObject Type="Embed" ProgID="Package" ShapeID="_x0000_i1025" DrawAspect="Content" ObjectID="_1697012818" r:id="rId13"/>
        </w:object>
      </w:r>
    </w:p>
    <w:sectPr w:rsidR="004323D5" w:rsidRPr="008C536F" w:rsidSect="00B01AE1">
      <w:headerReference w:type="default" r:id="rId14"/>
      <w:footerReference w:type="default" r:id="rId15"/>
      <w:headerReference w:type="first" r:id="rId16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FFD7" w14:textId="77777777" w:rsidR="001033D5" w:rsidRDefault="001033D5" w:rsidP="004323D5">
      <w:r>
        <w:separator/>
      </w:r>
    </w:p>
  </w:endnote>
  <w:endnote w:type="continuationSeparator" w:id="0">
    <w:p w14:paraId="289349E2" w14:textId="77777777" w:rsidR="001033D5" w:rsidRDefault="001033D5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AC17" w14:textId="77777777" w:rsidR="001033D5" w:rsidRDefault="001033D5" w:rsidP="004323D5">
      <w:r>
        <w:separator/>
      </w:r>
    </w:p>
  </w:footnote>
  <w:footnote w:type="continuationSeparator" w:id="0">
    <w:p w14:paraId="081383AE" w14:textId="77777777" w:rsidR="001033D5" w:rsidRDefault="001033D5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5A777EC1" w:rsidR="00B00710" w:rsidRDefault="00B00710" w:rsidP="00B00710">
    <w:pPr>
      <w:pStyle w:val="Header"/>
      <w:rPr>
        <w:rFonts w:cs="Calibri"/>
      </w:rPr>
    </w:pPr>
  </w:p>
  <w:p w14:paraId="043E31AB" w14:textId="19FDC231" w:rsidR="00B00710" w:rsidRDefault="00B00710" w:rsidP="00B00710">
    <w:pPr>
      <w:pStyle w:val="Header"/>
      <w:rPr>
        <w:rFonts w:cs="Calibri"/>
      </w:rPr>
    </w:pPr>
  </w:p>
  <w:p w14:paraId="38BA44B2" w14:textId="3546A8E0" w:rsidR="00282704" w:rsidRPr="00282704" w:rsidRDefault="00B52E7B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0E545BD2" wp14:editId="72C96F64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750B8A93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22EC9D2" w:rsidR="00C96C60" w:rsidRDefault="00B52E7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80133D7" wp14:editId="43EE12E1">
          <wp:simplePos x="0" y="0"/>
          <wp:positionH relativeFrom="margin">
            <wp:align>right</wp:align>
          </wp:positionH>
          <wp:positionV relativeFrom="paragraph">
            <wp:posOffset>371475</wp:posOffset>
          </wp:positionV>
          <wp:extent cx="1738630" cy="359410"/>
          <wp:effectExtent l="0" t="0" r="0" b="254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F88"/>
    <w:multiLevelType w:val="hybridMultilevel"/>
    <w:tmpl w:val="DE60B2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8C65CD"/>
    <w:multiLevelType w:val="hybridMultilevel"/>
    <w:tmpl w:val="DC1805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5277C7"/>
    <w:multiLevelType w:val="hybridMultilevel"/>
    <w:tmpl w:val="9D228EF8"/>
    <w:lvl w:ilvl="0" w:tplc="63FC4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7E5F6A"/>
    <w:multiLevelType w:val="hybridMultilevel"/>
    <w:tmpl w:val="5386D002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zIzMDAwM7I0MjZQ0lEKTi0uzszPAykwNKgFAOfClnEtAAAA"/>
  </w:docVars>
  <w:rsids>
    <w:rsidRoot w:val="00565176"/>
    <w:rsid w:val="00031A8A"/>
    <w:rsid w:val="000431EA"/>
    <w:rsid w:val="0005179D"/>
    <w:rsid w:val="00076EB2"/>
    <w:rsid w:val="00083736"/>
    <w:rsid w:val="000C630B"/>
    <w:rsid w:val="000D0F88"/>
    <w:rsid w:val="000D5C76"/>
    <w:rsid w:val="001033D5"/>
    <w:rsid w:val="00123E1B"/>
    <w:rsid w:val="00126B9C"/>
    <w:rsid w:val="001304F2"/>
    <w:rsid w:val="00134635"/>
    <w:rsid w:val="00140BB4"/>
    <w:rsid w:val="0014192E"/>
    <w:rsid w:val="0014424A"/>
    <w:rsid w:val="00150DFB"/>
    <w:rsid w:val="0015714B"/>
    <w:rsid w:val="00193274"/>
    <w:rsid w:val="001A18F1"/>
    <w:rsid w:val="001C0248"/>
    <w:rsid w:val="001D2C57"/>
    <w:rsid w:val="0022619E"/>
    <w:rsid w:val="002277CE"/>
    <w:rsid w:val="00236444"/>
    <w:rsid w:val="0025024E"/>
    <w:rsid w:val="00253ECB"/>
    <w:rsid w:val="00257038"/>
    <w:rsid w:val="00271DB9"/>
    <w:rsid w:val="00282704"/>
    <w:rsid w:val="002862EE"/>
    <w:rsid w:val="00293F0E"/>
    <w:rsid w:val="002A76F4"/>
    <w:rsid w:val="002D009A"/>
    <w:rsid w:val="002D7080"/>
    <w:rsid w:val="002F68CC"/>
    <w:rsid w:val="00322DF3"/>
    <w:rsid w:val="003246F6"/>
    <w:rsid w:val="0033645B"/>
    <w:rsid w:val="00354A03"/>
    <w:rsid w:val="0036244F"/>
    <w:rsid w:val="00376980"/>
    <w:rsid w:val="00382933"/>
    <w:rsid w:val="003C04C1"/>
    <w:rsid w:val="003C25C9"/>
    <w:rsid w:val="003C5139"/>
    <w:rsid w:val="003C610C"/>
    <w:rsid w:val="004141B6"/>
    <w:rsid w:val="004312DC"/>
    <w:rsid w:val="004323D5"/>
    <w:rsid w:val="004354FF"/>
    <w:rsid w:val="004866E9"/>
    <w:rsid w:val="004B4D34"/>
    <w:rsid w:val="004F1001"/>
    <w:rsid w:val="004F41F0"/>
    <w:rsid w:val="004F5952"/>
    <w:rsid w:val="00503339"/>
    <w:rsid w:val="005043A4"/>
    <w:rsid w:val="00514F80"/>
    <w:rsid w:val="0054701B"/>
    <w:rsid w:val="00565176"/>
    <w:rsid w:val="00587344"/>
    <w:rsid w:val="005A0210"/>
    <w:rsid w:val="005A56A3"/>
    <w:rsid w:val="005D385B"/>
    <w:rsid w:val="005D3E1E"/>
    <w:rsid w:val="005E3ECD"/>
    <w:rsid w:val="005F0CF7"/>
    <w:rsid w:val="005F161D"/>
    <w:rsid w:val="0061513B"/>
    <w:rsid w:val="00621DA8"/>
    <w:rsid w:val="00627E15"/>
    <w:rsid w:val="00636B07"/>
    <w:rsid w:val="00656B7C"/>
    <w:rsid w:val="006916D9"/>
    <w:rsid w:val="006C7C1F"/>
    <w:rsid w:val="006F6AFC"/>
    <w:rsid w:val="00713CA5"/>
    <w:rsid w:val="00715306"/>
    <w:rsid w:val="00720E69"/>
    <w:rsid w:val="00721988"/>
    <w:rsid w:val="00723218"/>
    <w:rsid w:val="00727C91"/>
    <w:rsid w:val="007412DF"/>
    <w:rsid w:val="0074356D"/>
    <w:rsid w:val="00755DB4"/>
    <w:rsid w:val="007767C1"/>
    <w:rsid w:val="007A277D"/>
    <w:rsid w:val="007B12E8"/>
    <w:rsid w:val="007C2CE3"/>
    <w:rsid w:val="007E4B19"/>
    <w:rsid w:val="00801167"/>
    <w:rsid w:val="008216D1"/>
    <w:rsid w:val="00834582"/>
    <w:rsid w:val="00865CB0"/>
    <w:rsid w:val="00882F84"/>
    <w:rsid w:val="008A32FE"/>
    <w:rsid w:val="008A6DB6"/>
    <w:rsid w:val="008C536F"/>
    <w:rsid w:val="008D2DCE"/>
    <w:rsid w:val="008D343B"/>
    <w:rsid w:val="008D53EC"/>
    <w:rsid w:val="008F4A04"/>
    <w:rsid w:val="0090244B"/>
    <w:rsid w:val="00905C6C"/>
    <w:rsid w:val="00910182"/>
    <w:rsid w:val="0091311C"/>
    <w:rsid w:val="00914AF2"/>
    <w:rsid w:val="009219E2"/>
    <w:rsid w:val="00922E7D"/>
    <w:rsid w:val="00933221"/>
    <w:rsid w:val="009377BD"/>
    <w:rsid w:val="00986BF5"/>
    <w:rsid w:val="00995075"/>
    <w:rsid w:val="009B1AB5"/>
    <w:rsid w:val="009E2554"/>
    <w:rsid w:val="00A1019E"/>
    <w:rsid w:val="00A17F5E"/>
    <w:rsid w:val="00A4419A"/>
    <w:rsid w:val="00A625D8"/>
    <w:rsid w:val="00A657F6"/>
    <w:rsid w:val="00A77BAC"/>
    <w:rsid w:val="00A908EB"/>
    <w:rsid w:val="00AA74BB"/>
    <w:rsid w:val="00AD494D"/>
    <w:rsid w:val="00AE0285"/>
    <w:rsid w:val="00AF5A6F"/>
    <w:rsid w:val="00B00710"/>
    <w:rsid w:val="00B01AE1"/>
    <w:rsid w:val="00B12F64"/>
    <w:rsid w:val="00B1658B"/>
    <w:rsid w:val="00B46AFE"/>
    <w:rsid w:val="00B52E7B"/>
    <w:rsid w:val="00B61A5B"/>
    <w:rsid w:val="00B74B51"/>
    <w:rsid w:val="00B9069F"/>
    <w:rsid w:val="00B90887"/>
    <w:rsid w:val="00B9210B"/>
    <w:rsid w:val="00BA3364"/>
    <w:rsid w:val="00BB5276"/>
    <w:rsid w:val="00BC5FAA"/>
    <w:rsid w:val="00BE6BF1"/>
    <w:rsid w:val="00BF75A1"/>
    <w:rsid w:val="00C07F96"/>
    <w:rsid w:val="00C32B8C"/>
    <w:rsid w:val="00C464D0"/>
    <w:rsid w:val="00C74E5F"/>
    <w:rsid w:val="00C85060"/>
    <w:rsid w:val="00C9091C"/>
    <w:rsid w:val="00C92471"/>
    <w:rsid w:val="00C96C60"/>
    <w:rsid w:val="00CA1BCF"/>
    <w:rsid w:val="00CC2BF6"/>
    <w:rsid w:val="00CD18B2"/>
    <w:rsid w:val="00CE38F5"/>
    <w:rsid w:val="00CF1440"/>
    <w:rsid w:val="00CF397B"/>
    <w:rsid w:val="00CF6ECC"/>
    <w:rsid w:val="00D04C8B"/>
    <w:rsid w:val="00D15A32"/>
    <w:rsid w:val="00D35371"/>
    <w:rsid w:val="00D50F51"/>
    <w:rsid w:val="00D75A2B"/>
    <w:rsid w:val="00DD2CDD"/>
    <w:rsid w:val="00E17A7B"/>
    <w:rsid w:val="00E21DB8"/>
    <w:rsid w:val="00E223A9"/>
    <w:rsid w:val="00E2480C"/>
    <w:rsid w:val="00E2788E"/>
    <w:rsid w:val="00E54DE1"/>
    <w:rsid w:val="00E5736F"/>
    <w:rsid w:val="00E71EF5"/>
    <w:rsid w:val="00EC7420"/>
    <w:rsid w:val="00ED1E34"/>
    <w:rsid w:val="00EE1557"/>
    <w:rsid w:val="00F03EC7"/>
    <w:rsid w:val="00F15F16"/>
    <w:rsid w:val="00F24D71"/>
    <w:rsid w:val="00F61391"/>
    <w:rsid w:val="00F675FE"/>
    <w:rsid w:val="00F70EAA"/>
    <w:rsid w:val="00F7495C"/>
    <w:rsid w:val="00F83784"/>
    <w:rsid w:val="00F84037"/>
    <w:rsid w:val="00F87B49"/>
    <w:rsid w:val="00FA067A"/>
    <w:rsid w:val="00FA3C82"/>
    <w:rsid w:val="00FA6CF4"/>
    <w:rsid w:val="00FB5471"/>
    <w:rsid w:val="5D651468"/>
    <w:rsid w:val="79E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2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210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210"/>
    <w:rPr>
      <w:rFonts w:ascii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573290BCC054A98A081EC876CE816" ma:contentTypeVersion="6" ma:contentTypeDescription="Create a new document." ma:contentTypeScope="" ma:versionID="0182ae28352abc99a05b3dd5f603a156">
  <xsd:schema xmlns:xsd="http://www.w3.org/2001/XMLSchema" xmlns:xs="http://www.w3.org/2001/XMLSchema" xmlns:p="http://schemas.microsoft.com/office/2006/metadata/properties" xmlns:ns2="e891b3e8-56e0-410d-8478-7b6f14b86b5c" xmlns:ns3="c1f64f25-173b-4b93-a899-0a4a2979b3c0" targetNamespace="http://schemas.microsoft.com/office/2006/metadata/properties" ma:root="true" ma:fieldsID="949a51697e714ed1b9c7eebcc0f8a9f6" ns2:_="" ns3:_="">
    <xsd:import namespace="e891b3e8-56e0-410d-8478-7b6f14b86b5c"/>
    <xsd:import namespace="c1f64f25-173b-4b93-a899-0a4a2979b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b3e8-56e0-410d-8478-7b6f14b86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4f25-173b-4b93-a899-0a4a2979b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935DD-7832-492D-9CF6-BC279EDEE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1b3e8-56e0-410d-8478-7b6f14b86b5c"/>
    <ds:schemaRef ds:uri="c1f64f25-173b-4b93-a899-0a4a2979b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7C81D-068A-4B22-81A0-7F2F4AA5E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99E1-C8A2-4915-A0CD-8BEE98FDA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71</cp:revision>
  <dcterms:created xsi:type="dcterms:W3CDTF">2021-08-25T14:57:00Z</dcterms:created>
  <dcterms:modified xsi:type="dcterms:W3CDTF">2021-10-29T09:40:00Z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0x010100030573290BCC054A98A081EC876CE816</vt:lpwstr>
  </property>
</Properties>
</file>